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16l ChemG — Verordnungsermächtigungen</w:t>
      </w:r>
    </w:p>
    <w:p>
      <w:r>
        <w:rPr>
          <w:color w:val="555555"/>
          <w:sz w:val="18"/>
        </w:rPr>
        <w:t xml:space="preserve">Chemikaliengesetz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Die Bundesregierung wird ermächtigt, durch Rechtsverordnung mit Zustimmung des Bundesrates</w:t>
      </w:r>
    </w:p>
    <w:p>
      <w:pPr>
        <w:ind w:left="420"/>
      </w:pPr>
      <w:r>
        <w:t xml:space="preserve">1. ergänzend zu § 16g Absatz 2 weitere Aufgaben des Bundesinstituts für Risikobewertung im Zusammenhang mit der Führung des Vergiftungsregisters festzulegen,</w:t>
      </w:r>
    </w:p>
    <w:p>
      <w:pPr>
        <w:ind w:left="420"/>
      </w:pPr>
      <w:r>
        <w:t xml:space="preserve">2. Einzelheiten zu dem elektronischen Format zu regeln, in dem die Informationszentren für Vergiftungen die Daten nach § 16i Absatz 5 an das Bundesinstitut für Risikobewertung zu übermitteln haben,</w:t>
      </w:r>
    </w:p>
    <w:p>
      <w:pPr>
        <w:ind w:left="420"/>
      </w:pPr>
      <w:r>
        <w:t xml:space="preserve">3. weitere Details zu den Inhalten der Berichte des Bundesinstituts für Risikobewertung nach § 16g Absatz 2 Nummer 8 festzulegen.</w:t>
      </w:r>
    </w:p>
    <w:p>
      <w:r>
        <w:rPr>
          <w:color w:val="555555"/>
          <w:sz w:val="17"/>
        </w:rPr>
        <w:t xml:space="preserve">Zitiervorschlag: § 16l ChemG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https://recht.nulegal.eu/gesetze/ChemG/16l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