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16k ChemG — Überregionale chemische Bedrohungslage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Sofern der Verdacht einer überregionalen chemischen Bedrohungslage besteht, übermitteln die Informationszentren für Vergiftungen die Daten nach § 16i Absatz 1 Satz 2 Nummer 1, 2, 6 und 8 und Absatz 2 Satz 1 Nummer 1 bis 4 in nicht personenbezogener Form unverzüglich an das Bundesinstitut für Risikobewertung.</w:t>
      </w:r>
    </w:p>
    <w:p>
      <w:r>
        <w:t xml:space="preserve">(2) Das Bundesinstitut für Risikobewertung leitet in Fällen einer überregionalen chemischen Bedrohungslage die nach Absatz 1 erhaltenen Daten unverzüglich an das Lagezentrum des Bundesministeriums des Innern und für Heimat, an das Gemeinsame Melde- und Lagezentrum von Bund und Ländern sowie an das Bundesministerium für Gesundheit in nicht personenbezogener Form weiter.</w:t>
      </w:r>
    </w:p>
    <w:p>
      <w:r>
        <w:rPr>
          <w:color w:val="555555"/>
          <w:sz w:val="17"/>
        </w:rPr>
        <w:t xml:space="preserve">Zitiervorschlag: § 16k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https://recht.nulegal.eu/gesetze/ChemG/16k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