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16f ChemG — Informationspflicht der Lieferanten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Wer als Lieferant eines Erzeugnisses im Sinne des Artikels 3 Nummer 33 der Verordnung (EG) Nr. 1907/2006 Erzeugnisse im Sinne des Artikels 3 Nummer 3 der Verordnung (EG) Nr. 1907/2006 in Verkehr bringt, hat die folgenden Informationen gemäß Artikel 33 Absatz 1 der Verordnung (EG) Nr. 1907/2006 unverzüglich nach dem Inverkehrbringen der Europäischen Chemikalienagentur für die Datenbank nach Artikel 9 Absatz 2 Satz 1 der Richtlinie 2008/98/EG zur Verfügung zu stellen:</w:t>
      </w:r>
    </w:p>
    <w:p>
      <w:pPr>
        <w:ind w:left="420"/>
      </w:pPr>
      <w:r>
        <w:t xml:space="preserve">1. den Namen des Stoffes im Sinne von Artikel 33 Absatz 1 der Verordnung (EG) Nr. 1907/2006 und, falls verfügbar, dessen EG-Nummer und CAS-Nummer,</w:t>
      </w:r>
    </w:p>
    <w:p>
      <w:pPr>
        <w:ind w:left="420"/>
      </w:pPr>
      <w:r>
        <w:t xml:space="preserve">2. den Konzentrationsbereich des Stoffes im Erzeugnis,</w:t>
      </w:r>
    </w:p>
    <w:p>
      <w:pPr>
        <w:ind w:left="420"/>
      </w:pPr>
      <w:r>
        <w:t xml:space="preserve">3. die Material- oder Gemischkategorie,</w:t>
      </w:r>
    </w:p>
    <w:p>
      <w:pPr>
        <w:ind w:left="420"/>
      </w:pPr>
      <w:r>
        <w:t xml:space="preserve">4. die Bezeichnung des Erzeugnisses, das den Stoff enthält, oder des komplexen Gegenstandes, in dem ein solches Erzeugnis eingearbeitet ist,</w:t>
      </w:r>
    </w:p>
    <w:p>
      <w:pPr>
        <w:ind w:left="420"/>
      </w:pPr>
      <w:r>
        <w:t xml:space="preserve">5. den vom Mitteilungspflichtigen zugewiesenen Erzeugnisidentifikator,</w:t>
      </w:r>
    </w:p>
    <w:p>
      <w:pPr>
        <w:ind w:left="420"/>
      </w:pPr>
      <w:r>
        <w:t xml:space="preserve">6. die Erzeugniskategorie,</w:t>
      </w:r>
    </w:p>
    <w:p>
      <w:pPr>
        <w:ind w:left="420"/>
      </w:pPr>
      <w:r>
        <w:t xml:space="preserve">7. die Angabe der Komponenten im Falle eines komplexen Gegenstandes,</w:t>
      </w:r>
    </w:p>
    <w:p>
      <w:pPr>
        <w:ind w:left="420"/>
      </w:pPr>
      <w:r>
        <w:t xml:space="preserve">8. die Angabe, ob die Herstellung oder Zusammensetzung des Erzeugnisses oder des komplexen Gegenstandes in der Europäischen Union erfolgt ist oder nicht,</w:t>
      </w:r>
    </w:p>
    <w:p>
      <w:pPr>
        <w:ind w:left="420"/>
      </w:pPr>
      <w:r>
        <w:t xml:space="preserve">9. die Anweisung zur sicheren Verwendung des Erzeugnisses oder des komplexen Gegenstandes.</w:t>
      </w:r>
    </w:p>
    <w:p>
      <w:r>
        <w:t xml:space="preserve">Satz 1 gilt nicht für Erzeugnisse mit militärischer Zweckbestimmung.</w:t>
      </w:r>
    </w:p>
    <w:p>
      <w:r>
        <w:t xml:space="preserve">(2) Die Bundesregierung wird ermächtigt, durch Rechtsverordnung mit Zustimmung des Bundesrates näher zu bestimmen, auf welche Art und Weise und mit welchen Maßgaben die Verpflichtung nach Absatz 1 unter Berücksichtigung der auf Unionsebene entwickelten Vorgaben für die Datenbank zu erfüllen ist.</w:t>
      </w:r>
    </w:p>
    <w:p>
      <w:r>
        <w:rPr>
          <w:color w:val="555555"/>
          <w:sz w:val="17"/>
        </w:rPr>
        <w:t xml:space="preserve">Zitiervorschlag: § 16f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