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16d ChemG — Mitteilungspflichten bei Gemischen</w:t>
      </w:r>
    </w:p>
    <w:p>
      <w:r>
        <w:rPr>
          <w:color w:val="555555"/>
          <w:sz w:val="18"/>
        </w:rPr>
        <w:t xml:space="preserve">Chemikaliengesetz</w:t>
      </w:r>
    </w:p>
    <w:p>
      <w:r>
        <w:rPr>
          <w:color w:val="555555"/>
          <w:sz w:val="18"/>
        </w:rPr>
        <w:t xml:space="preserve">Stand: 10.06.2019 (konsolidierte Textfassung, kein amtliches Inkrafttretensdatum)</w:t>
      </w:r>
    </w:p>
    <w:p>
      <w:r>
        <w:t xml:space="preserve">(1) Die Bundesregierung wird ermächtigt, durch Rechtsverordnung mit Zustimmung des Bundesrates zum Zwecke der Ermittlung von Gefahren, die von Gemischen ausgehen können, sowie von Art und Umfang der Verwendung gefährlicher Stoffe in Gemischen den Hersteller, Einführer oder Verwender von bestimmten Gemischen zu verpflichten,</w:t>
      </w:r>
    </w:p>
    <w:p>
      <w:pPr>
        <w:ind w:left="420"/>
      </w:pPr>
      <w:r>
        <w:t xml:space="preserve">1. die Bezeichnung dieser Gemische und ihre Handelsnamen,</w:t>
      </w:r>
    </w:p>
    <w:p>
      <w:pPr>
        <w:ind w:left="420"/>
      </w:pPr>
      <w:r>
        <w:t xml:space="preserve">2. deren Kennzeichnung,</w:t>
      </w:r>
    </w:p>
    <w:p>
      <w:pPr>
        <w:ind w:left="420"/>
      </w:pPr>
      <w:r>
        <w:t xml:space="preserve">3. Angaben über die Zusammensetzung dieser Gemische,</w:t>
      </w:r>
    </w:p>
    <w:p>
      <w:pPr>
        <w:ind w:left="420"/>
      </w:pPr>
      <w:r>
        <w:t xml:space="preserve">4. die jährlich hergestellte, eingeführte oder verwendete Menge dieser Gemische,</w:t>
      </w:r>
    </w:p>
    <w:p>
      <w:pPr>
        <w:ind w:left="420"/>
      </w:pPr>
      <w:r>
        <w:t xml:space="preserve">5. deren Verwendungsgebiete,</w:t>
      </w:r>
    </w:p>
    <w:p>
      <w:pPr>
        <w:ind w:left="420"/>
      </w:pPr>
      <w:r>
        <w:t xml:space="preserve">6. ihm vorliegende oder mit vertretbarem Aufwand beschaffbare Prüfnachweise nach der Verordnung (EG) Nr. 440/2008, soweit sie zur Ermittlung gefährlicher Eigenschaften dieser Gemische erforderlich sind, die sich nicht mit Hilfe der nach diesem Gesetz oder aufgrund dieses Gesetzes vorgeschriebenen Berechnungsverfahren bestimmen lassen, sowie</w:t>
      </w:r>
    </w:p>
    <w:p>
      <w:pPr>
        <w:ind w:left="420"/>
      </w:pPr>
      <w:r>
        <w:t xml:space="preserve">7. den Inhalt von Sicherheitsdatenblättern</w:t>
      </w:r>
    </w:p>
    <w:p>
      <w:r>
        <w:t xml:space="preserve">der Bundesstelle für Chemikalien innerhalb einer angemessenen Frist schriftlich mitzuteilen, wenn Anhaltspunkte, insbesondere ein nach dem Stand der wissenschaftlichen Erkenntnisse begründeter Verdacht dafür vorliegen, dass von diesen Gemischen schädliche Einwirkungen auf den Menschen oder die Umwelt ausgehen.</w:t>
      </w:r>
    </w:p>
    <w:p>
      <w:r>
        <w:t xml:space="preserve">(2) Die Mitteilungspflicht kann auf bestimmte Angaben über die Zusammensetzung beschränkt, von der hergestellten, eingeführten oder verwendeten Menge abhängig gemacht und auf spätere Änderungen der Zusammensetzung erstreckt werden. In der Rechtsverordnung sind Bestimmungen darüber zu treffen, dass und wie auf Verlangen des Mitteilungspflichtigen die Vertraulichkeit der mitgeteilten Angaben sicherzustellen ist.</w:t>
      </w:r>
    </w:p>
    <w:p>
      <w:r>
        <w:rPr>
          <w:color w:val="555555"/>
          <w:sz w:val="17"/>
        </w:rPr>
        <w:t xml:space="preserve">Zitiervorschlag: § 16d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https://recht.nulegal.eu/gesetze/ChemG/16d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