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ChemG — Einstufungs-, Kennzeichnungs- und Verpackungspflichten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Einstufung, Kennzeichnung und Verpackung von Stoffen und Gemischen richten sich nach den Bestimmungen der Verordnung (EG) Nr. 1272/2008.</w:t>
      </w:r>
    </w:p>
    <w:p>
      <w:r>
        <w:t xml:space="preserve">(2) Wer als Hersteller oder Einführer Stoffe oder Gemische in den Verkehr bringt, hat diese zusätzlich nach der Rechtsverordnung gemäß § 14 einzustufen, soweit die Rechtsverordnung Regelungen zur Einstufung enthält.</w:t>
      </w:r>
    </w:p>
    <w:p>
      <w:r>
        <w:t xml:space="preserve">(3) Wer als Lieferant im Sinne des Artikels 2 Nummer 26 der Verordnung (EG) Nr. 1272/2008 Stoffe oder Gemische in den Verkehr bringt, hat diese zusätzlich nach der Rechtsverordnung gemäß § 14 zu kennzeichnen und zu verpacken, soweit die Rechtsverordnung Regelungen zur Kennzeichnung und Verpackung enthält.</w:t>
      </w:r>
    </w:p>
    <w:p>
      <w:r>
        <w:t xml:space="preserve">(4) Weitergehende Anforderungen über die Kennzeichnung und Verpackung nach anderen Rechtsvorschriften bleiben unberührt.</w:t>
      </w:r>
    </w:p>
    <w:p>
      <w:r>
        <w:rPr>
          <w:color w:val="555555"/>
          <w:sz w:val="17"/>
        </w:rPr>
        <w:t xml:space="preserve">Zitiervorschlag: § 13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