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12l ChemG — Verordnungsermächtigungen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02.04.2026 (konsolidierte Textfassung, kein amtliches Inkrafttretensdatum)</w:t>
      </w:r>
    </w:p>
    <w:p>
      <w:r>
        <w:t xml:space="preserve">Die Bundesregierung wird ermächtigt, soweit unionsrechtlich zulässig, durch Rechtsverordnung mit Zustimmung des Bundesrates</w:t>
      </w:r>
    </w:p>
    <w:p>
      <w:pPr>
        <w:ind w:left="420"/>
      </w:pPr>
      <w:r>
        <w:t xml:space="preserve">1. nähere Regelungen zu Inhalt, Form und Übermittlung der Erklärung und der Angaben nach § 12i Absatz 2 und § 12j Absatz 2 und 3 sowie zur Aufbewahrung nach § 12i Absatz 3 und § 12j Absatz 6 zu treffen,</w:t>
      </w:r>
    </w:p>
    <w:p>
      <w:pPr>
        <w:ind w:left="420"/>
      </w:pPr>
      <w:r>
        <w:t xml:space="preserve">2. vorzusehen, dass, von wem und in welcher Form die Angaben nach § 12i Absatz 2 und § 12j Absatz 2 und 3 ganz oder teilweise als Kennzeichnung auf Behältnissen, Erzeugnissen oder Einrichtungen angebracht werden müssen.</w:t>
      </w:r>
    </w:p>
    <w:p>
      <w:r>
        <w:rPr>
          <w:color w:val="555555"/>
          <w:sz w:val="17"/>
        </w:rPr>
        <w:t xml:space="preserve">Zitiervorschlag: § 12l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https://recht.nulegal.eu/gesetze/ChemG/12l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