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12j ChemG — Ergänzende Pflichten zu Kapitel IV der Verordnung (EU) 2024/573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(1) Es ist verboten, teilfluorierte Kohlenwasserstoffe gemäß Anhang I Gruppe 1 der Verordnung (EU) 2024/573 in der Fassung vom 7. Februar 2024, die unter Verstoß gegen die Anforderungen des Artikels 16 Absatz 1 Unterabsatz 2 der Verordnung (EU) 2024/573 in der Fassung vom 7. Februar 2024 in den Verkehr gebracht wurden, für Dritte bereitzustellen, an Dritte abzugeben oder zu erwerben. Satz 1 gilt nicht, wenn die betreffenden Handlungen zur Rückgabe oder Entsorgung erfolgen. Liegt ein Verstoß gegen Satz 1 vor, soll die zuständige Behörde die Verwendung des Stoffes oder Gemisches untersagen und kann die Vernichtung des Stoffes oder Gemisches anordnen.</w:t>
      </w:r>
    </w:p>
    <w:p>
      <w:r>
        <w:t xml:space="preserve">(2) Wer als Hersteller oder Einführer teilfluorierte Kohlenwasserstoffe gemäß Anhang I Gruppe 1 der Verordnung (EU) 2024/573 in der Fassung vom 7. Februar 2024 an Dritte abgibt, hat bei jeder Lieferung schriftlich oder elektronisch dem Erwerber eine Erklärung mit folgenden Angaben zu übermitteln:</w:t>
      </w:r>
    </w:p>
    <w:p>
      <w:pPr>
        <w:ind w:left="420"/>
      </w:pPr>
      <w:r>
        <w:t xml:space="preserve">1. der Name und die Anschrift des Herstellers oder Einführers,</w:t>
      </w:r>
    </w:p>
    <w:p>
      <w:pPr>
        <w:ind w:left="420"/>
      </w:pPr>
      <w:r>
        <w:t xml:space="preserve">2. eine Bestätigung,</w:t>
      </w:r>
    </w:p>
    <w:p>
      <w:pPr>
        <w:ind w:left="780"/>
      </w:pPr>
      <w:r>
        <w:t xml:space="preserve">a) dass und für welches Kalenderjahr oder welche Kalenderjahre ihm für die gelieferten Stoffe oder Gemische nach Artikel 17 oder 21 der Verordnung (EU) 2024/573 in der Fassung vom 7. Februar 2024 eine Quote für das Inverkehrbringen zugeteilt oder übertragen wurde,</w:t>
      </w:r>
    </w:p>
    <w:p>
      <w:pPr>
        <w:ind w:left="780"/>
      </w:pPr>
      <w:r>
        <w:t xml:space="preserve">b) dass für die Stoffe oder Gemische eine konkret anzugebende Ausnahme von der Quotenpflicht für das Inverkehrbringen nach Artikel 16 Absatz 2 oder 4 der Verordnung (EU) 2024/573 in der Fassung vom 7. Februar 2024 vorliegt oder</w:t>
      </w:r>
    </w:p>
    <w:p>
      <w:pPr>
        <w:ind w:left="780"/>
      </w:pPr>
      <w:r>
        <w:t xml:space="preserve">c) dass die Stoffe oder Gemische bereits vor dem 1. Januar 2015 in den Verkehr gebracht wurden und</w:t>
      </w:r>
    </w:p>
    <w:p>
      <w:pPr>
        <w:ind w:left="420"/>
      </w:pPr>
      <w:r>
        <w:t xml:space="preserve">3. Identifikationsmerkmale, die eine eindeutige Zuordnung der Stoffe, Gemische oder ihrer Behälter zu der Erklärung ermöglichen.</w:t>
      </w:r>
    </w:p>
    <w:p>
      <w:r>
        <w:t xml:space="preserve">(3) Wer teilfluorierte Kohlenwasserstoffe gemäß Anhang I Gruppe 1 der Verordnung (EU) 2024/573 zur Verwendung oder zur Abgabe an Dritte von einem Lieferanten aus einem anderen Mitgliedstaat der Europäischen Union bezieht, ohne von diesem eine Erklärung nach Absatz 2 zu erhalten, hat die in Absatz 2 genannten Angaben zu ermitteln. Bei Abgabe an Dritte hat er bei jeder Lieferung schriftlich oder elektronisch dem Erwerber eine Erklärung zu übermitteln, aus der sich die in Absatz 2 genannten Angaben sowie sein eigener Name und seine eigene Anschrift ergibt. Können Angaben nach Absatz 2 nicht ermittelt werden, gilt Satz 2 mit den folgenden Maßgaben: In der Erklärung</w:t>
      </w:r>
    </w:p>
    <w:p>
      <w:pPr>
        <w:ind w:left="420"/>
      </w:pPr>
      <w:r>
        <w:t xml:space="preserve">1. ist für jede nicht ermittelbare Angabe glaubhaft darzulegen, warum diese nicht ermittelt werden konnte;</w:t>
      </w:r>
    </w:p>
    <w:p>
      <w:pPr>
        <w:ind w:left="420"/>
      </w:pPr>
      <w:r>
        <w:t xml:space="preserve">2. sind anstelle einer nicht ermittelbaren Angabe nach Absatz 2 Nummer 1 Name und Anschrift des Lieferanten aus dem anderen Mitgliedstaat der Europäischen Union anzugeben.</w:t>
      </w:r>
    </w:p>
    <w:p>
      <w:r>
        <w:t xml:space="preserve">(4) Bei jeder weiteren Abgabe des Stoffes oder Gemisches in der Lieferkette hat der jeweilige Abgebende die die Lieferung betreffenden Angaben nach Absatz 2 Nummer 2 und 3 oder Absatz 3 sowie seinen eigenen Namen und seine eigene Anschrift schriftlich oder elektronisch dem Erwerber zu übermitteln.</w:t>
      </w:r>
    </w:p>
    <w:p>
      <w:r>
        <w:t xml:space="preserve">(5) Die Absätze 2 bis 4 gelten nicht für die Abgabe zur Rückgabe oder Entsorgung sowie die Abgabe aufgearbeiteter oder recycelter Stoffe oder Gemische, die mit den Angaben nach Artikel 12 Absatz 7 der Verordnung (EU) 2024/573 gekennzeichnet sind. Für die Abgabe von Gemischen, die aus aufgearbeiteten oder recycelten Stoffen oder Gemischen sowie ungebrauchten Stoffen oder Gemischen bestehen, gelten die Absätze 2 bis 4 mit den folgenden Maßgaben:</w:t>
      </w:r>
    </w:p>
    <w:p>
      <w:pPr>
        <w:ind w:left="420"/>
      </w:pPr>
      <w:r>
        <w:t xml:space="preserve">1. für die ungebrauchten Anteile des Gemisches sind die Angaben nach den Absätzen 2 bis 4 zu übermitteln;</w:t>
      </w:r>
    </w:p>
    <w:p>
      <w:pPr>
        <w:ind w:left="420"/>
      </w:pPr>
      <w:r>
        <w:t xml:space="preserve">2. für die aufgearbeiteten oder recycelten Anteile des Gemisches genügen die Angaben nach Artikel 12 Absatz 7 der Verordnung (EU) 2024/573.</w:t>
      </w:r>
    </w:p>
    <w:p>
      <w:r>
        <w:t xml:space="preserve">(6) Die Angaben nach den Absätzen 2 bis 4, jeweils auch in Verbindung mit Absatz 5, sind sowohl vom Abgebenden als auch vom Erwerber für einen Zeitraum von mindestens fünf Jahren nach Übermittlung aufzubewahren.</w:t>
      </w:r>
    </w:p>
    <w:p>
      <w:r>
        <w:t xml:space="preserve">(7) Die Vorlage der Angaben nach den Absätzen 2 bis 4, jeweils auch in Verbindung mit Absatz 5, gegenüber der zuständigen Behörde begründet die Vermutung, dass kein Verstoß gegen Absatz 1 vorliegt. Wenn die Angaben nicht vorgelegt werden und auch nicht anderweitig glaubhaft gemacht wird, dass beim Inverkehrbringen des Stoffes oder Gemisches die Anforderungen des Artikels 16 Absatz 1 Unterabsatz 2 der Verordnung (EU) 2024/573 beachtet wurden, soll die zuständige Behörde die weitere Abgabe oder Verwendung des Stoffes oder Gemisches untersagen und kann die Vernichtung des Stoffes oder Gemisches anordnen.</w:t>
      </w:r>
    </w:p>
    <w:p>
      <w:r>
        <w:t xml:space="preserve">(8) Absatz 2, Absatz 3 Satz 2 sowie Absatz 4 gelten nicht für die Abgabe durch Befüllung eines Erzeugnisses oder einer Einrichtung zum bestimmungsgemäßen endgültigen Einsatz.</w:t>
      </w:r>
    </w:p>
    <w:p>
      <w:r>
        <w:rPr>
          <w:color w:val="555555"/>
          <w:sz w:val="17"/>
        </w:rPr>
        <w:t xml:space="preserve">Zitiervorschlag: § 12j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https://recht.nulegal.eu/gesetze/ChemG/12j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