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12i ChemG — Ergänzende Pflichten zu Kapitel III der Verordnung (EU) Nr. 2024/573</w:t>
      </w:r>
    </w:p>
    <w:p>
      <w:r>
        <w:rPr>
          <w:color w:val="555555"/>
          <w:sz w:val="18"/>
        </w:rPr>
        <w:t xml:space="preserve">Chemikaliengesetz</w:t>
      </w:r>
    </w:p>
    <w:p>
      <w:r>
        <w:rPr>
          <w:color w:val="555555"/>
          <w:sz w:val="18"/>
        </w:rPr>
        <w:t xml:space="preserve">Stand: 02.04.2026 (konsolidierte Textfassung, kein amtliches Inkrafttretensdatum)</w:t>
      </w:r>
    </w:p>
    <w:p>
      <w:r>
        <w:t xml:space="preserve">(1) Es ist verboten,</w:t>
      </w:r>
    </w:p>
    <w:p>
      <w:pPr>
        <w:ind w:left="420"/>
      </w:pPr>
      <w:r>
        <w:t xml:space="preserve">1. Erzeugnisse und Einrichtungen, die unter Verstoß gegen Artikel 11 Absatz 1 in Verbindung mit Anhang IV der Verordnung (EU) 2024/573 in der Fassung vom 7. Februar 2024 in Verkehr gebracht wurden, zu erwerben oder</w:t>
      </w:r>
    </w:p>
    <w:p>
      <w:pPr>
        <w:ind w:left="420"/>
      </w:pPr>
      <w:r>
        <w:t xml:space="preserve">2. Behälter, die dem Verbot nach Artikel 11 Absatz 1 in Verbindung mit Anhang IV Nummer 1 der Verordnung (EU) 2024/573 in der Fassung vom 7. Februar 2024 unterliegen, zu lagern oder zu entleeren.</w:t>
      </w:r>
    </w:p>
    <w:p>
      <w:r>
        <w:t xml:space="preserve">Satz 1 gilt nicht, wenn die betreffenden Handlungen zur Rückgabe oder Entsorgung erfolgen.</w:t>
      </w:r>
    </w:p>
    <w:p>
      <w:r>
        <w:t xml:space="preserve">(2) Wer Erzeugnisse oder Einrichtungen, die einem Verbot nach Artikel 11 Absatz 1 Unterabsatz 1 in Verbindung mit Anhang IV der Verordnung (EU) 2024/573 in der Fassung vom 7. Februar 2024 nicht unterliegen, weil sie bereits vor dem in Anhang IV der Verordnung (EU) 2024/573 genannten Verbotsdatum in Verkehr gebracht wurden, an Dritte abgibt, hat dem Erwerber bei der Lieferung schriftlich oder elektronisch eine Erklärung mit folgenden Angaben zu übermitteln:</w:t>
      </w:r>
    </w:p>
    <w:p>
      <w:pPr>
        <w:ind w:left="420"/>
      </w:pPr>
      <w:r>
        <w:t xml:space="preserve">1. Name und Anschrift des Abgebenden,</w:t>
      </w:r>
    </w:p>
    <w:p>
      <w:pPr>
        <w:ind w:left="420"/>
      </w:pPr>
      <w:r>
        <w:t xml:space="preserve">2. eine Bestätigung, dass das Erzeugnis oder die Einrichtung bereits vor dem in Anhang IV der Verordnung (EU) 2024/573 in der Fassung vom 7. Februar 2024 genannten Verbotsdatum erstmals in den Verkehr gebracht wurde, und</w:t>
      </w:r>
    </w:p>
    <w:p>
      <w:pPr>
        <w:ind w:left="420"/>
      </w:pPr>
      <w:r>
        <w:t xml:space="preserve">3. Identifikationsmerkmale des Erzeugnisses oder der Einrichtung, die eine eindeutige Zuordnung des Erzeugnisses oder der Einrichtung zu der Erklärung ermöglichen.</w:t>
      </w:r>
    </w:p>
    <w:p>
      <w:r>
        <w:t xml:space="preserve">(3) Absatz 2 gilt nicht, wenn aufgrund der Umstände, insbesondere aufgrund</w:t>
      </w:r>
    </w:p>
    <w:p>
      <w:pPr>
        <w:ind w:left="420"/>
      </w:pPr>
      <w:r>
        <w:t xml:space="preserve">1. der Bauart und des Zustandes des Erzeugnisses oder der Einrichtung oder</w:t>
      </w:r>
    </w:p>
    <w:p>
      <w:pPr>
        <w:ind w:left="420"/>
      </w:pPr>
      <w:r>
        <w:t xml:space="preserve">2. von Herstellerkennzeichnungen auf dem Erzeugnis oder der Einrichtung,</w:t>
      </w:r>
    </w:p>
    <w:p>
      <w:r>
        <w:t xml:space="preserve">offensichtlich ist, dass das erstmalige Inverkehrbringen vor dem Verbotsdatum erfolgte.</w:t>
      </w:r>
    </w:p>
    <w:p>
      <w:r>
        <w:t xml:space="preserve">(4) Die Erklärung nach Absatz 2 ist vom Abgebenden und vom Erwerber für einen Zeitraum von mindestens fünf Jahren nach Übermittlung aufzubewahren.</w:t>
      </w:r>
    </w:p>
    <w:p>
      <w:r>
        <w:t xml:space="preserve">(5) Die Vorlage der Erklärung nach Absatz 2 gegenüber der zuständigen Behörde begründet die Vermutung, dass kein Verstoß gegen Artikel 11 Absatz 1 Unterabsatz 3 der Verordnung (EU) 2024/573 vorliegt.</w:t>
      </w:r>
    </w:p>
    <w:p>
      <w:r>
        <w:rPr>
          <w:color w:val="555555"/>
          <w:sz w:val="17"/>
        </w:rPr>
        <w:t xml:space="preserve">Zitiervorschlag: § 12i ChemG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https://recht.nulegal.eu/gesetze/ChemG/12i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