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ChemG — Beteiligte Bundesbehörden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Durchführung der Verordnung (EU) Nr. 528/2012 wirken die in § 4 Absatz 1 genannten Stellen nach Maßgabe dieses Abschnitts mit. Das Bundesinstitut für Risikobewertung als Bewertungsstelle Gesundheit und Verbraucherschutz unterliegt insoweit der Fachaufsicht des Bundesministeriums für Ernährung und Landwirtschaft.</w:t>
      </w:r>
    </w:p>
    <w:p>
      <w:r>
        <w:t xml:space="preserve">(2) Soweit bei den in § 4 Absatz 1 Nummer 2 bis 4 genannten Behörden, beim Julius Kühn-Institut, bei der Bundesanstalt für Materialforschung und -prüfung oder beim Robert Koch-Institut besondere Fachkenntnisse zur Beurteilung der Wirksamkeit sowie der unannehmbaren Wirkungen auf Zielorganismen vorliegen, kann die Bundesstelle für Chemikalien zur Entscheidung über das Vorliegen der Zulassungsvoraussetzungen nach Artikel 19 Absatz 1 Buchstabe b Ziffer i und ii der Verordnung (EU) Nr. 528/2012 eine Stellungnahme bei diesen Behörden einholen. Ferner beteiligt die Bundesstelle für Chemikalien die Bundesanstalt für Materialforschung und -prüfung bei der Bewertung der physikalischen Gefahren gemäß Anhang I Teil 2 der Verordnung (EG) Nr. 1272/2008, der sicherheitstechnischen Eigenschaften und der Beständigkeit von Behältern und Verpackungsmaterial, sofern die Bundesanstalt für Materialforschung und -prüfung bei der betreffenden Fragestellung aufgrund weiterer gesetzlicher Zuständigkeiten besondere Fachkenntnisse besitzt und die betreffende Fragestellung von der Bundesstelle für Chemikalien nicht abschließend beurteilt werden kann.</w:t>
      </w:r>
    </w:p>
    <w:p>
      <w:r>
        <w:t xml:space="preserve">(3) Abweichend von Absatz 1 sind für die Erteilung, Verlängerung, Überprüfung und Aufhebung von Ausnahmezulassungen nach Artikel 55 Absatz 1 der Verordnung (EU) Nr. 528/2012 einschließlich der Veranlassung der darauf bezogenen Kommissionsverfahren die folgenden Behörden zuständig:</w:t>
      </w:r>
    </w:p>
    <w:p>
      <w:pPr>
        <w:ind w:left="420"/>
      </w:pPr>
      <w:r>
        <w:t xml:space="preserve">1. das Robert Koch-Institut in Bezug auf Biozid-Produkte, die nach § 18 des Infektionsschutzgesetzes bei behördlich angeordneten Entseuchungen verwendet werden dürfen,</w:t>
      </w:r>
    </w:p>
    <w:p>
      <w:pPr>
        <w:ind w:left="420"/>
      </w:pPr>
      <w:r>
        <w:t xml:space="preserve">2. das Umweltbundesamt in Bezug auf Biozid-Produkte, die nach § 18 des Infektionsschutzgesetzes bei behördlich angeordneten Maßnahmen zur Bekämpfung von Gesundheitsschädlingen oder Krätzmilben verwendet werden dürfen,</w:t>
      </w:r>
    </w:p>
    <w:p>
      <w:pPr>
        <w:ind w:left="420"/>
      </w:pPr>
      <w:r>
        <w:t xml:space="preserve">3. das Bundesamt für Verbraucherschutz und Lebensmittelsicherheit in Bezug auf Biozid-Produkte, die nach einer Rechtsverordnung auf Grund des § 7 des Tiergesundheitsgesetzes bei einer tiergesundheitsrechtlich vorgeschriebenen Desinfektion, Bekämpfung von Schadnagern oder von sonstigen Schadorganismen oder bei einer sonstigen Entwesung verwendet werden dürfen.</w:t>
      </w:r>
    </w:p>
    <w:p>
      <w:r>
        <w:rPr>
          <w:color w:val="555555"/>
          <w:sz w:val="17"/>
        </w:rPr>
        <w:t xml:space="preserve">Zitiervorschlag: § 12a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