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ChemBiozidZulV — Vorlage von Prüfnachweisen, Prüfmethoden</w:t>
      </w:r>
    </w:p>
    <w:p>
      <w:r>
        <w:rPr>
          <w:color w:val="555555"/>
          <w:sz w:val="18"/>
        </w:rPr>
        <w:t xml:space="preserve">Biozid-Zulassungsverordnung</w:t>
      </w:r>
    </w:p>
    <w:p>
      <w:r>
        <w:rPr>
          <w:color w:val="555555"/>
          <w:sz w:val="18"/>
        </w:rPr>
        <w:t xml:space="preserve">Historische Fassung: Stand 10.06.2019 bis 26.08.2021. Dies ist nicht die aktuelle Fassung.</w:t>
      </w:r>
    </w:p>
    <w:p>
      <w:r>
        <w:t xml:space="preserve">(1) Bei Vorlage von Prüfnachweisen in einem der in § 1 genannten Verfahren hat der Antragsteller oder Mitteilungspflichtige schriftlich zu erklären, dass die Beschaffenheit des Biozid-Produkts, des Biozid-Wirkstoffes oder gegebenenfalls des sonstigen Inhaltsstoffes, auf den sich die Angaben in dem Antrag oder der Mitteilung beziehen, derjenigen des geprüften Biozid-Produkts, Biozid-Wirkstoffes oder Inhaltsstoffes entspricht. Die Bestimmung physikalischer und chemischer Eigenschaften eines Biozid-Wirkstoffes ist, soweit erforderlich, am reinen Biozid-Wirkstoff vorzunehmen. Die Zusammensetzung der Probe ist jeweils anzugeben. Der Erklärung sind die Namen der für die Durchführung der Versuche verantwortlichen Stellen beizufügen.</w:t>
      </w:r>
    </w:p>
    <w:p>
      <w:r>
        <w:t xml:space="preserve">(2) Prüfungen im Rahmen von Verfahren nach § 1 Nr. 1, 3 und 5 sind nach den in Anhang V der Richtlinie 67/548/EWG in ihrer jeweils jüngsten im Amtsblatt der Europäischen Gemeinschaften veröffentlichten Fassung beschriebenen Methoden und unter Einhaltung der Grundsätze der Guten Laborpraxis durchzuführen. Begonnene Prüfungen können nach dem bei ihrem Beginn geltenden Recht zu Ende geführt werden. Die Prüfungen sind nach sonstigen international anerkannten wissenschaftlichen Methoden durchzuführen, wenn</w:t>
      </w:r>
    </w:p>
    <w:p>
      <w:pPr>
        <w:ind w:left="420"/>
      </w:pPr>
      <w:r>
        <w:t xml:space="preserve">1. die Richtlinie 67/548/EWG für bestimmte Prüfungen keine Regelungen enthält,</w:t>
      </w:r>
    </w:p>
    <w:p>
      <w:pPr>
        <w:ind w:left="420"/>
      </w:pPr>
      <w:r>
        <w:t xml:space="preserve">2. die in der Richtlinie 67/548/EWG genannten Prüfmethoden für die Untersuchung einer bestimmten Eigenschaft nicht geeignet sind oder</w:t>
      </w:r>
    </w:p>
    <w:p>
      <w:pPr>
        <w:ind w:left="420"/>
      </w:pPr>
      <w:r>
        <w:t xml:space="preserve">3. die sonstigen Methoden mit einer geringeren Anzahl von Versuchstieren oder mit einer geringeren Belastung der Tiere zu gleichwertigen Ergebnissen im Vergleich zu den in Anhang V der Richtlinie 67/548/EWG genannten Prüfmethoden führen.</w:t>
      </w:r>
    </w:p>
    <w:p>
      <w:r>
        <w:t xml:space="preserve">Bei gleichwertigen Prüfmethoden ist jeweils diejenige anzuwenden, die den Verzicht auf Tierversuche zulässt oder, falls dies nicht möglich ist, die geringstmögliche Anzahl von Versuchstieren erfordert oder bei der die geringste Belastung für die Versuchstiere auftritt. § 20a des Chemikaliengesetzes bleibt unberührt. Sind vor dem 9. Juli 2002 Prüfungen mit anderen als den in den Sätzen 1 bis 4 bezeichneten Prüfmethoden durchgeführt worden, sind die entsprechenden Prüfnachweise vorzulegen. Die Zulassungsstelle soll diese Prüfnachweise akzeptieren, wenn sie für den Prüfungszweck ausreichen und auf diese Weise weitere Wirbeltierversuche vermieden werden können.</w:t>
      </w:r>
    </w:p>
    <w:p>
      <w:r>
        <w:t xml:space="preserve">(3) Ist eine Prüfung hinsichtlich einer bestimmten Stoffeigenschaft nicht sinnvoll, weil sich der Stoff unter den zu erwartenden Prüf- und Expositionsbedingungen umwandelt, kann die Prüfung statt am Stoff am Umwandlungsprodukt durchgeführt werden.</w:t>
      </w:r>
    </w:p>
    <w:p>
      <w:r>
        <w:t xml:space="preserve">(4) Prüfnachweise müssen die vollständigen Ergebnisse der durchgeführten Prüfungen wiedergeben. Über die verwendeten Prüfmethoden sind vollständige Angaben zu machen. In den Fällen des Absatzes 2 Satz 3 Nr. 2 und 3 ist die Verwendung der gewählten Methoden zu begründen.</w:t>
      </w:r>
    </w:p>
    <w:p>
      <w:r>
        <w:rPr>
          <w:color w:val="555555"/>
          <w:sz w:val="17"/>
        </w:rPr>
        <w:t xml:space="preserve">Zitiervorschlag: § 3 ChemBiozidZulV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https://recht.nulegal.eu/gesetze/ChemBiozidZulV/3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