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ChemBiozidZulV — Allgemeine Vorschriften zur Vorlage von Unterlagen</w:t>
      </w:r>
    </w:p>
    <w:p>
      <w:r>
        <w:rPr>
          <w:color w:val="555555"/>
          <w:sz w:val="18"/>
        </w:rPr>
        <w:t xml:space="preserve">Biozid-Zulassungsverordnung</w:t>
      </w:r>
    </w:p>
    <w:p>
      <w:r>
        <w:rPr>
          <w:color w:val="555555"/>
          <w:sz w:val="18"/>
        </w:rPr>
        <w:t xml:space="preserve">Historische Fassung: Stand 10.06.2019 bis 26.08.2021. Dies ist nicht die aktuelle Fassung.</w:t>
      </w:r>
    </w:p>
    <w:p>
      <w:r>
        <w:t xml:space="preserve">(1) Unterlagen, die der Zulassungsstelle in einem der in § 1 genannten Verfahren vorzulegen sind, sind bei der Zulassungsstelle in jeweils vier gleichen Sätzen einzureichen. Die Zulassungsstelle kann</w:t>
      </w:r>
    </w:p>
    <w:p>
      <w:pPr>
        <w:ind w:left="420"/>
      </w:pPr>
      <w:r>
        <w:t xml:space="preserve">1. die Verwendung eines von ihr bestimmten Vordruckes oder eines bestimmten Formates eines sonstigen Datenträgers verlangen,</w:t>
      </w:r>
    </w:p>
    <w:p>
      <w:pPr>
        <w:ind w:left="420"/>
      </w:pPr>
      <w:r>
        <w:t xml:space="preserve">2. die Übermittlung der Angaben auf einem anderen geeigneten Datenträger zulassen,</w:t>
      </w:r>
    </w:p>
    <w:p>
      <w:pPr>
        <w:ind w:left="420"/>
      </w:pPr>
      <w:r>
        <w:t xml:space="preserve">3. die Übermittlung weiterer Kopien vorgelegter Unterlagen verlangen, soweit dies im Hinblick auf die Beteiligung der in § 12j Abs. 2 Satz 2 des Chemikaliengesetzes genannten Behörden oder zur Erfüllung der in § 22 Abs. 1a Nr. 4 dieses Gesetzes genannten Informationspflichten erforderlich ist.</w:t>
      </w:r>
    </w:p>
    <w:p>
      <w:r>
        <w:t xml:space="preserve">(2) Anträge und Unterlagen, die eines der in § 1 genannten Verfahren einleiten, müssen Angaben über Namen und Anschrift des Antragstellers oder Mitteilungspflichtigen, den Standort des Herstellungsbetriebes sowie die Identität des Biozid-Produkts einschließlich aller in ihm enthaltenen Biozid-Wirkstoffe oder des Biozid-Wirkstoffes und eine Zusammenfassung des wesentlichen Inhalts der vorgelegten Unterlagen enthalten. Ist der Antragsteller nicht Hersteller des Biozid-Wirkstoffes, sind zusätzlich Angaben über den Herstellungsbetrieb des Biozid-Wirkstoffes zu machen. Biozid-Wirkstoffe sind mit dem in Anhang I der Richtlinie 67/548/EWG des Rates vom 27. Juni 1967 zur Angleichung der Rechts- und Verwaltungsvorschriften für die Einstufung, Verpackung und Kennzeichnung gefährlicher Stoffe (ABl. EG Nr. C 196 S. 1) in ihrer jeweils jüngsten im Amtsblatt der Europäischen Gemeinschaften veröffentlichten Fassung angegebenen Namen oder, sofern der Name dort nicht aufgeführt ist, mit dem im Europäischen Altstoffverzeichnis EINECS angegebenen Namen oder, sofern der Name dort auch nicht aufgeführt ist, mit der bei der Internationalen Normenorganisation gebräuchlichen Allgemeinen Bezeichnung (ISO Common Name) oder, sofern auch eine solche nicht vorliegt, mindestens mit der chemischen Bezeichnung nach dem System der Internationalen Union für reine und angewandte Chemie (IUPAC-Nomenklatur) zu bezeichnen. Auf Unterlagen, die vom Antragsteller oder Mitteilungspflichtigen der Zulassungsstelle über dasselbe Biozid-Produkt oder denselben Biozid-Wirkstoff bereits vorgelegt wurden, ist Bezug zu nehmen. Im Falle der Einfuhr sind auch Name und Anschrift des Herstellers zu benennen. Im Falle der Antragstellung durch einen Bevollmächtigten ist die Bevollmächtigung durch eine schriftliche Erklärung des Herstellers oder Einführers nachzuweisen.</w:t>
      </w:r>
    </w:p>
    <w:p>
      <w:r>
        <w:rPr>
          <w:color w:val="555555"/>
          <w:sz w:val="17"/>
        </w:rPr>
        <w:t xml:space="preserve">Zitiervorschlag: § 2 ChemBiozidZulV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https://recht.nulegal.eu/gesetze/ChemBiozidZulV/2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