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ChemBiozidZulV — Anwendungsbereich, Zweck</w:t>
      </w:r>
    </w:p>
    <w:p>
      <w:r>
        <w:rPr>
          <w:color w:val="555555"/>
          <w:sz w:val="18"/>
        </w:rPr>
        <w:t xml:space="preserve">Biozid-Zulassungsverordnung</w:t>
      </w:r>
    </w:p>
    <w:p>
      <w:r>
        <w:rPr>
          <w:color w:val="555555"/>
          <w:sz w:val="18"/>
        </w:rPr>
        <w:t xml:space="preserve">Historische Fassung: Stand 10.06.2019 bis 26.08.2021. Dies ist nicht die aktuelle Fassung.</w:t>
      </w:r>
    </w:p>
    <w:p>
      <w:r>
        <w:t xml:space="preserve">Diese Verordnung gilt für</w:t>
      </w:r>
    </w:p>
    <w:p>
      <w:pPr>
        <w:ind w:left="420"/>
      </w:pPr>
      <w:r>
        <w:t xml:space="preserve">1. die Zulassung von Biozid-Produkten nach § 12a Satz 1 und § 12c des Chemikaliengesetzes,</w:t>
      </w:r>
    </w:p>
    <w:p>
      <w:pPr>
        <w:ind w:left="420"/>
      </w:pPr>
      <w:r>
        <w:t xml:space="preserve">2. die Feststellung zum Entfallen der Zulassungsbedürftigkeit nach § 12a Satz 2 Nr. 4 des Chemikaliengesetzes,</w:t>
      </w:r>
    </w:p>
    <w:p>
      <w:pPr>
        <w:ind w:left="420"/>
      </w:pPr>
      <w:r>
        <w:t xml:space="preserve">3. die Registrierung von Biozid-Produkten nach § 12f des Chemikaliengesetzes,</w:t>
      </w:r>
    </w:p>
    <w:p>
      <w:pPr>
        <w:ind w:left="420"/>
      </w:pPr>
      <w:r>
        <w:t xml:space="preserve">4. die Anerkennung ausländischer Zulassungen und Registrierungen nach § 12g des Chemikaliengesetzes,</w:t>
      </w:r>
    </w:p>
    <w:p>
      <w:pPr>
        <w:ind w:left="420"/>
      </w:pPr>
      <w:r>
        <w:t xml:space="preserve">5. die Prüfung von Biozid-Wirkstoffen nach § 12h des Chemikaliengesetzes,</w:t>
      </w:r>
    </w:p>
    <w:p>
      <w:pPr>
        <w:ind w:left="420"/>
      </w:pPr>
      <w:r>
        <w:t xml:space="preserve">6. die Vorlage von Unterlagen einschließlich Aufzeichnungen und Mitteilung von Änderungen in Fällen wissenschaftlicher oder verfahrensorientierter Forschung und Entwicklung nach § 12i Abs. 2 des Chemikaliengesetzes,</w:t>
      </w:r>
    </w:p>
    <w:p>
      <w:pPr>
        <w:ind w:left="420"/>
      </w:pPr>
      <w:r>
        <w:t xml:space="preserve">7. die Genehmigung von Versuchen, bei denen es zu einer Freisetzung in die Umwelt kommen kann, nach § 12i Abs. 3 des Chemikaliengesetzes,</w:t>
      </w:r>
    </w:p>
    <w:p>
      <w:pPr>
        <w:ind w:left="420"/>
      </w:pPr>
      <w:r>
        <w:t xml:space="preserve">8. die Mitteilung von Änderungen und neuen Erkenntnissen nach § 16f Abs. 1 Satz 1 Nr. 1 und 2 des Chemikaliengesetzes.</w:t>
      </w:r>
    </w:p>
    <w:p>
      <w:r>
        <w:t xml:space="preserve">Sie dient der Regelung näherer Einzelheiten dieser Verfahren, die die gesetzlichen Regelungen in Teilbereichen konkretisieren.</w:t>
      </w:r>
    </w:p>
    <w:p>
      <w:r>
        <w:rPr>
          <w:color w:val="555555"/>
          <w:sz w:val="17"/>
        </w:rPr>
        <w:t xml:space="preserve">Zitiervorschlag: § 1 ChemBiozidZulV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https://recht.nulegal.eu/gesetze/ChemBiozidZulV/1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