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ChemBiozidMeldeV 2011 — Elektronisches Verzeichnis</w:t>
      </w:r>
    </w:p>
    <w:p>
      <w:r>
        <w:rPr>
          <w:color w:val="555555"/>
          <w:sz w:val="18"/>
        </w:rPr>
        <w:t xml:space="preserve">Biozid-Meldeverordnung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Die Zulassungsstelle stellt auf ihrer Internetseite den für die Überwachung zuständigen Landesbehörden ein elektronisches Verzeichnis derjenigen Biozid-Produkte zur Verfügung, für die eine Registriernummer erteilt wurde. Das Verzeichnis muss mindestens einmal im Vierteljahr aktualisiert werden. Das Verzeichnis enthält insbesondere die Angaben nach § 3 Absatz 1 Satz 3, die jeweilige Registriernummer sowie gegebenenfalls das Datum gemäß Artikel 4 Absatz 2 der Verordnung (EG) Nr. 1451/2007 und die von der Nichtaufnahmeentscheidung betroffene Produktart.</w:t>
      </w:r>
    </w:p>
    <w:p>
      <w:r>
        <w:rPr>
          <w:color w:val="555555"/>
          <w:sz w:val="17"/>
        </w:rPr>
        <w:t xml:space="preserve">Zitiervorschlag: § 4 ChemBiozidMeldeV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https://recht.nulegal.eu/gesetze/ChemBiozidMeldeV%202011/4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