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ChemBiozidMeldeV 2011 — Pflicht zur Aufbringung der Registriernummer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(1) Biozid-Produkte nach § 1 dürfen nur in den Verkehr gebracht werden, wenn eine Registriernummer auf dem betreffenden Biozid-Produkt aufgebracht ist. Die Registriernummer ist von Herstellern, Einführern oder unter Verwendung eines eigenen Handelsnamens Tätigen nach dem Verfahren des § 3 Absatz 1 bei der Zulassungsstelle nach § 12j Absatz 1 des Chemikaliengesetzes zu beantragen. Satz 1 gilt für Biozid-Produkte, für die bereits eine Registriernummer nach der Biozid-Meldeverordnung vom 24. Mai 2005 (BGBl. I S. 1410) erteilt wurde, mit der Maßgabe, dass diese Registriernummer aufzubringen ist.</w:t>
      </w:r>
    </w:p>
    <w:p>
      <w:r>
        <w:t xml:space="preserve">(2) Für bis zum 17. Juni 2011 in den Verkehr gebrachte Biozid-Produkte ist die Registriernummer bis zum 1. August 2011 nach dem Verfahren des § 3 Absatz 1 bei der Zulassungsstelle zu beantragen. Für Biozid-Produkte nach Satz 1 haben die in Absatz 1 Satz 2 genannten Personen sicherzustellen, dass die Registriernummer bis zum 1. November 2011 aufgebracht wird. Satz 1 gilt nicht für Biozid-Produkte, für die bereits eine Registriernummer nach der Biozid-Meldeverordnung vom 24. Mai 2005 erteilt wurde.</w:t>
      </w:r>
    </w:p>
    <w:p>
      <w:r>
        <w:rPr>
          <w:color w:val="555555"/>
          <w:sz w:val="17"/>
        </w:rPr>
        <w:t xml:space="preserve">Zitiervorschlag: § 2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