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ChemBiozidDV — Erteilung der Registriernummer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Die Bundesstelle für Chemikalien erteilt die Registriernummer spätestens innerhalb von 30 Tagen nach der Meldung, sofern</w:t>
      </w:r>
    </w:p>
    <w:p>
      <w:pPr>
        <w:ind w:left="420"/>
      </w:pPr>
      <w:r>
        <w:t xml:space="preserve">1. die Meldung die Angaben nach § 4 Absatz 2 enthält,</w:t>
      </w:r>
    </w:p>
    <w:p>
      <w:pPr>
        <w:ind w:left="420"/>
      </w:pPr>
      <w:r>
        <w:t xml:space="preserve">2. das Biozid-Produkt zum Zeitpunkt der Entscheidung über die Erteilung der Registriernummer nach Maßgabe von § 28 Absatz 8 Satz 2 des Chemikaliengesetzes für alle in der Meldung genannten Produktarten auf dem Markt bereitgestellt werden darf,</w:t>
      </w:r>
    </w:p>
    <w:p>
      <w:pPr>
        <w:ind w:left="420"/>
      </w:pPr>
      <w:r>
        <w:t xml:space="preserve">3. der in der Meldung angegebene Stofflieferant oder Produktlieferant für das Biozid-Produkt in der Liste nach Artikel 95 Absatz 1 Unterabsatz 1 der Verordnung (EU) Nr. 528/2012 mit der Produktart oder den Produktarten des Biozid-Produkts aufgeführt ist und</w:t>
      </w:r>
    </w:p>
    <w:p>
      <w:pPr>
        <w:ind w:left="420"/>
      </w:pPr>
      <w:r>
        <w:t xml:space="preserve">4. alle in der Meldung genannten Produktarten</w:t>
      </w:r>
    </w:p>
    <w:p>
      <w:pPr>
        <w:ind w:left="780"/>
      </w:pPr>
      <w:r>
        <w:t xml:space="preserve">a) den in Anhang II der Delegierten Verordnung (EU) Nr. 1062/2014 für den betreffenden Wirkstoff genannten Produktarten entsprechen, sofern der jeweilige Wirkstoff darin aufgeführt ist, oder</w:t>
      </w:r>
    </w:p>
    <w:p>
      <w:pPr>
        <w:ind w:left="780"/>
      </w:pPr>
      <w:r>
        <w:t xml:space="preserve">b) den Produktarten, für die der betreffende Wirkstoff gemäß Artikel 18 der Delegierten Verordnung (EU) Nr. 1062/2014 in das Prüfprogramm einbezogen wurde, entsprechen.</w:t>
      </w:r>
    </w:p>
    <w:p>
      <w:r>
        <w:t xml:space="preserve">Die Erteilung der Registriernummer nach Satz 1 kann vollständig durch automatische Einrichtungen erfolgen.</w:t>
      </w:r>
    </w:p>
    <w:p>
      <w:r>
        <w:rPr>
          <w:color w:val="555555"/>
          <w:sz w:val="17"/>
        </w:rPr>
        <w:t xml:space="preserve">Zitiervorschlag: § 5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