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ChemBiozidDV — Aufbringen und Angabe der Registriernummer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(1) Biozid-Produkte, die der Übergangsvorschrift nach § 28 Absatz 8 Satz 1 des Chemikaliengesetzes unterliegen, dürfen im Geltungsbereich dieser Verordnung nur auf dem Markt bereitgestellt werden, wenn auf dem Biozid-Produkt die nach § 5 von der Bundesstelle für Chemikalien für das Biozid-Produkt erteilte Registriernummer aufgebracht ist. Als Registriernummern im Sinne von § 5 gelten auch Registriernummern, die nach § 4 Satz 3 der Biozid-Meldeverordnung vom 24. Mai 2005 (BGBl. I S. 1410) in der bis zum 13. Mai 2010 geltenden Fassung oder nach § 3 Absatz 2 Satz 4 der Biozid-Meldeverordnung vom 14. Juni 2011 (BGBl. I S. 1085) erteilt wurden.</w:t>
      </w:r>
    </w:p>
    <w:p>
      <w:r>
        <w:t xml:space="preserve">(2) Biozid-Produkte nach Absatz 1 dürfen im Geltungsbereich dieser Verordnung im Online-Handel oder sonst zum Versand nur angeboten werden, wenn das Angebot die Registriernummer enthält.</w:t>
      </w:r>
    </w:p>
    <w:p>
      <w:r>
        <w:rPr>
          <w:color w:val="555555"/>
          <w:sz w:val="17"/>
        </w:rPr>
        <w:t xml:space="preserve">Zitiervorschlag: § 3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