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ChemBiozidDV — Mitteilung über auf dem Markt bereitgestellte Biozid-Produkte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Wer als Hersteller oder Einführer ein Biozid-Produkt im Geltungsbereich dieser Verordnung auf dem Markt bereitstellt oder ein im Geltungsbereich dieser Verordnung hergestelltes Biozid-Produkt aus diesem ausführt, hat jährlich bis zum Ablauf des 31. März bei der Bundesstelle für Chemikalien für das vorangegangene Kalenderjahr Folgendes mitzuteilen:</w:t>
      </w:r>
    </w:p>
    <w:p>
      <w:pPr>
        <w:ind w:left="420"/>
      </w:pPr>
      <w:r>
        <w:t xml:space="preserve">1. die Art und Menge der Biozid-Produkte, die er an Empfänger mit Wohnsitz oder Sitz im Inland abgegeben hat oder die er ausgeführt hat, und</w:t>
      </w:r>
    </w:p>
    <w:p>
      <w:pPr>
        <w:ind w:left="420"/>
      </w:pPr>
      <w:r>
        <w:t xml:space="preserve">2. die in den abgegebenen oder ausgeführten Biozid-Produkten enthaltenen Wirkstoffe.</w:t>
      </w:r>
    </w:p>
    <w:p>
      <w:r>
        <w:t xml:space="preserve">(2) Die Mitteilung hat für jedes Biozid-Produkt getrennt zu erfolgen und unter Angabe</w:t>
      </w:r>
    </w:p>
    <w:p>
      <w:pPr>
        <w:ind w:left="420"/>
      </w:pPr>
      <w:r>
        <w:t xml:space="preserve">1. des Handelsnamens,</w:t>
      </w:r>
    </w:p>
    <w:p>
      <w:pPr>
        <w:ind w:left="420"/>
      </w:pPr>
      <w:r>
        <w:t xml:space="preserve">2. der Registriernummer nach § 3 Absatz 1 und</w:t>
      </w:r>
    </w:p>
    <w:p>
      <w:pPr>
        <w:ind w:left="420"/>
      </w:pPr>
      <w:r>
        <w:t xml:space="preserve">3. der bei der Antragstellung vergebenen Fallnummer oder der Zulassungsnummer nach Artikel 22 Absatz 2 Buchstabe d der Verordnung (EU) Nr. 528/2012.</w:t>
      </w:r>
    </w:p>
    <w:p>
      <w:r>
        <w:t xml:space="preserve">(3) Die Mitteilung hat elektronisch unter Verwendung eines von der Bundesstelle für Chemikalien auf der Internetseite der Bundesanstalt für Arbeitsschutz und Arbeitsmedizin bereitgestellten Formulars zu erfolgen.</w:t>
      </w:r>
    </w:p>
    <w:p>
      <w:r>
        <w:rPr>
          <w:color w:val="555555"/>
          <w:sz w:val="17"/>
        </w:rPr>
        <w:t xml:space="preserve">Zitiervorschlag: § 16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