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ChemBiozidDV — Anforderungen an die Abgabe im Online- und Versandhandel</w:t>
      </w:r>
    </w:p>
    <w:p>
      <w:r>
        <w:rPr>
          <w:color w:val="555555"/>
          <w:sz w:val="18"/>
        </w:rPr>
        <w:t xml:space="preserve">Biozidrechts-Durchführungsverordnung</w:t>
      </w:r>
    </w:p>
    <w:p>
      <w:r>
        <w:rPr>
          <w:color w:val="555555"/>
          <w:sz w:val="18"/>
        </w:rPr>
        <w:t xml:space="preserve">Stand: 26.08.2021 (konsolidierte Textfassung, kein amtliches Inkrafttretensdatum)</w:t>
      </w:r>
    </w:p>
    <w:p>
      <w:r>
        <w:t xml:space="preserve">Erfolgt die Abgabe im Online-Handel oder sonst im Versandwege, gelten § 10 Absatz 2 und § 11 Absatz 2 mit der Maßgabe, dass durch technische oder organisatorische Maßnahmen sicherzustellen ist, dass vor Abschluss des Kaufvertrages über das Biozid-Produkt</w:t>
      </w:r>
    </w:p>
    <w:p>
      <w:pPr>
        <w:ind w:left="420"/>
      </w:pPr>
      <w:r>
        <w:t xml:space="preserve">1. die Einhaltung der Voraussetzungen des § 11 Absatz 2 Nummer 1 durch eine nach § 13 sachkundige Person überprüft wird und</w:t>
      </w:r>
    </w:p>
    <w:p>
      <w:pPr>
        <w:ind w:left="420"/>
      </w:pPr>
      <w:r>
        <w:t xml:space="preserve">2. ein fernmündliches oder ein per Videoübertragung geführtes Abgabegespräch nach § 11 Absatz 2 Nummer 2 durch eine nach § 13 sachkundige Person nachweisbar erfolgt.</w:t>
      </w:r>
    </w:p>
    <w:p>
      <w:r>
        <w:rPr>
          <w:color w:val="555555"/>
          <w:sz w:val="17"/>
        </w:rPr>
        <w:t xml:space="preserve">Zitiervorschlag: § 12 ChemBiozidDV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https://recht.nulegal.eu/gesetze/ChemBiozidDV/12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