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ChemBiozidDV — Anwendungsbereich</w:t>
      </w:r>
    </w:p>
    <w:p>
      <w:r>
        <w:rPr>
          <w:color w:val="555555"/>
          <w:sz w:val="18"/>
        </w:rPr>
        <w:t xml:space="preserve">Biozidrechts-Durchführungsverordnung</w:t>
      </w:r>
    </w:p>
    <w:p>
      <w:r>
        <w:rPr>
          <w:color w:val="555555"/>
          <w:sz w:val="18"/>
        </w:rPr>
        <w:t xml:space="preserve">Stand: 26.08.2021 (konsolidierte Textfassung, kein amtliches Inkrafttretensdatum)</w:t>
      </w:r>
    </w:p>
    <w:p>
      <w:r>
        <w:t xml:space="preserve">Diese Verordnung gilt für Biozid-Produkte im Sinne von § 3 Nummer 11 des Chemikaliengesetzes in der Fassung der Bekanntmachung vom 28. August 2013 (BGBl. I S. 3498, 3991), das zuletzt durch Artikel 1 des Gesetzes vom 3. Juni 2021 (BGBl. I S. 1479) geändert worden ist.</w:t>
      </w:r>
    </w:p>
    <w:p>
      <w:r>
        <w:rPr>
          <w:color w:val="555555"/>
          <w:sz w:val="17"/>
        </w:rPr>
        <w:t xml:space="preserve">Zitiervorschlag: § 1 ChemBiozidDV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