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ChemBioLackAusbV 2009 — Gewichtungs- und Bestehensregelung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   Prüfungsbereich Herstellen undCharakterisieren von Produkten    17,5 Prozent,</w:t>
      </w:r>
    </w:p>
    <w:p>
      <w:r>
        <w:rPr>
          <w:rFonts w:ascii="Courier New" w:hAnsi="Courier New"/>
          <w:sz w:val="17"/>
        </w:rPr>
        <w:t xml:space="preserve">2.    Prüfungsbereich Allgemeine undPräparative Chemie    17,5 Prozent,</w:t>
      </w:r>
    </w:p>
    <w:p>
      <w:r>
        <w:rPr>
          <w:rFonts w:ascii="Courier New" w:hAnsi="Courier New"/>
          <w:sz w:val="17"/>
        </w:rPr>
        <w:t xml:space="preserve">3.    PrüfungsbereichProzessorientiertes Arbeiten    27,5 Prozent,</w:t>
      </w:r>
    </w:p>
    <w:p>
      <w:r>
        <w:rPr>
          <w:rFonts w:ascii="Courier New" w:hAnsi="Courier New"/>
          <w:sz w:val="17"/>
        </w:rPr>
        <w:t xml:space="preserve">4.    Prüfungsbereich AnalytischeChemie und Wahlqualifikationen    27,5 Prozent,</w:t>
      </w:r>
    </w:p>
    <w:p>
      <w:r>
        <w:rPr>
          <w:rFonts w:ascii="Courier New" w:hAnsi="Courier New"/>
          <w:sz w:val="17"/>
        </w:rPr>
        <w:t xml:space="preserve">5.    Prüfungsbereich Wirtschafts- undSozialkunde    10,0 Prozent.</w:t>
      </w:r>
    </w:p>
    <w:p>
      <w:r>
        <w:t xml:space="preserve">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Ergebnis von Teil 2 der Abschlussprüfung mit mindestens „ausreichend“,</w:t>
      </w:r>
    </w:p>
    <w:p>
      <w:pPr>
        <w:ind w:left="420"/>
      </w:pPr>
      <w:r>
        <w:t xml:space="preserve">3. im Prüfungsbereich Prozessorientiertes Arbeiten sowie im Prüfungsbereich Analytische Chemie und Wahlqualifikationen jeweils mit mindestens „ausreichend“ und</w:t>
      </w:r>
    </w:p>
    <w:p>
      <w:pPr>
        <w:ind w:left="420"/>
      </w:pPr>
      <w:r>
        <w:t xml:space="preserve">4. in keinem Prüfungsbereich von Teil 2 der Abschlussprüfung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9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