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ChemBioLackAusbV 2009 — Durchführung der Berufsausbildung</w:t>
      </w:r>
    </w:p>
    <w:p>
      <w:r>
        <w:rPr>
          <w:color w:val="555555"/>
          <w:sz w:val="18"/>
        </w:rPr>
        <w:t xml:space="preserve">Verordnung über die Berufsausbildung im Laborbereich Chemie, Biologie und Lack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des § 1 Absatz 3 des Berufsbildungsgesetzes befähigt werden, die insbesondere selbstständiges Planen, Durchführen und Kontrollieren einschließt. Die in Satz 1 beschriebene Befähigung ist auch in den Prüfungen nach den §§ 6 bis 10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rPr>
          <w:color w:val="555555"/>
          <w:sz w:val="17"/>
        </w:rPr>
        <w:t xml:space="preserve">Zitiervorschlag: § 5 ChemBioLackAusbV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https://recht.nulegal.eu/gesetze/ChemBioLackAusbV%202009/5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