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ChemBioLackAusbV 2009 — Gewichtungs- und Bestehensregelung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Prüfungsbereich Applikations- und Prüftechnik    17,5 Prozent,</w:t>
      </w:r>
    </w:p>
    <w:p>
      <w:r>
        <w:rPr>
          <w:rFonts w:ascii="Courier New" w:hAnsi="Courier New"/>
          <w:sz w:val="17"/>
        </w:rPr>
        <w:t xml:space="preserve">Prüfungsbereich Chemie und Physik von Beschichtungsstoffen    17,5 Prozent,</w:t>
      </w:r>
    </w:p>
    <w:p>
      <w:r>
        <w:rPr>
          <w:rFonts w:ascii="Courier New" w:hAnsi="Courier New"/>
          <w:sz w:val="17"/>
        </w:rPr>
        <w:t xml:space="preserve">Prüfungsbereich Herstellung und Qualitätskontrolle    27,5 Prozent,</w:t>
      </w:r>
    </w:p>
    <w:p>
      <w:r>
        <w:rPr>
          <w:rFonts w:ascii="Courier New" w:hAnsi="Courier New"/>
          <w:sz w:val="17"/>
        </w:rPr>
        <w:t xml:space="preserve">Prüfungsbereich Lack- und Beschichtungstechnologie    27,5 Prozent,</w:t>
      </w:r>
    </w:p>
    <w:p>
      <w:r>
        <w:rPr>
          <w:rFonts w:ascii="Courier New" w:hAnsi="Courier New"/>
          <w:sz w:val="17"/>
        </w:rPr>
        <w:t xml:space="preserve">Prüfungsbereich Wirtschafts- und Sozialkunde    10,0 Prozent.</w:t>
      </w:r>
    </w:p>
    <w:p>
      <w:pPr>
        <w:ind w:left="420"/>
      </w:pPr>
      <w:r>
        <w:t xml:space="preserve">5. 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Ergebnis von Teil 2 der Abschlussprüfung mit mindestens „ausreichend“,</w:t>
      </w:r>
    </w:p>
    <w:p>
      <w:pPr>
        <w:ind w:left="420"/>
      </w:pPr>
      <w:r>
        <w:t xml:space="preserve">3. im Prüfungsbereich Herstellung und Qualitätskontrolle sowie im Prüfungsbereich Lack- und Beschichtungstechnologie jeweils mit mindestens „ausreichend“ und</w:t>
      </w:r>
    </w:p>
    <w:p>
      <w:pPr>
        <w:ind w:left="420"/>
      </w:pPr>
      <w:r>
        <w:t xml:space="preserve">4. in keinem Prüfungsbereich von Teil 2 der Abschlussprüfung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23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