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ChemBioLackAusbV 2009 — Mündliche Ergänzungsprüfung</w:t>
      </w:r>
    </w:p>
    <w:p>
      <w:r>
        <w:rPr>
          <w:color w:val="555555"/>
          <w:sz w:val="18"/>
        </w:rPr>
        <w:t xml:space="preserve">Verordnung über die Berufsausbildung im Laborbereich Chemie, Biologie und Lack</w:t>
      </w:r>
    </w:p>
    <w:p>
      <w:r>
        <w:rPr>
          <w:color w:val="555555"/>
          <w:sz w:val="18"/>
        </w:rPr>
        <w:t xml:space="preserve">Stand: 01.08.2020 (konsolidierte Textfassung, kein amtliches Inkrafttretensdatum)</w:t>
      </w:r>
    </w:p>
    <w:p>
      <w:r>
        <w:t xml:space="preserve">Auf Antrag des Prüflings ist die Prüfung in einem der in Teil 2 der Abschlussprüfung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17 ChemBioLackAusbV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https://recht.nulegal.eu/gesetze/ChemBioLackAusbV%202009/17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