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ChemBioLackAusbErprobV</w:t>
      </w:r>
    </w:p>
    <w:p>
      <w:r>
        <w:rPr>
          <w:color w:val="555555"/>
          <w:sz w:val="18"/>
        </w:rPr>
        <w:t xml:space="preserve">Verordnung über die Erprobung einer neuen Ausbildungsform für die Berufsausbildung im Laborbereich Chemie, Biologie und Lack</w:t>
      </w:r>
    </w:p>
    <w:p>
      <w:r>
        <w:rPr>
          <w:color w:val="555555"/>
          <w:sz w:val="18"/>
        </w:rPr>
        <w:t xml:space="preserve">Historische Fassung: Stand 24.02.2021 bis 19.02.2022. Dies ist nicht die aktuelle Fassung.</w:t>
      </w:r>
    </w:p>
    <w:p>
      <w:r>
        <w:t xml:space="preserve">Auf Grund des § 28 Abs. 3 des Berufsbildungsgesetzes vom 14. August 1969 (BGBl. I S. 1112), der zuletzt durch Artikel 212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ChemBioLackAusbErprobV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https://recht.nulegal.eu/gesetze/ChemBioLackAusbErprobV/eingangsformel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