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ChemBioLackAusbErprobV — Inkrafttreten, Außerkrafttreten</w:t>
      </w:r>
    </w:p>
    <w:p>
      <w:r>
        <w:rPr>
          <w:color w:val="555555"/>
          <w:sz w:val="18"/>
        </w:rPr>
        <w:t xml:space="preserve">Verordnung über die Erprobung einer neuen Ausbildungsform für die Berufsausbildung im Laborbereich Chemie, Biologie und Lack</w:t>
      </w:r>
    </w:p>
    <w:p>
      <w:r>
        <w:rPr>
          <w:color w:val="555555"/>
          <w:sz w:val="18"/>
        </w:rPr>
        <w:t xml:space="preserve">Historische Fassung: Stand 26.02.2021 bis 19.02.2022. Dies ist nicht die aktuelle Fassung.</w:t>
      </w:r>
    </w:p>
    <w:p>
      <w:r>
        <w:t xml:space="preserve">Diese Verordnung tritt am 1. August 2002 in Kraft und mit Ausnahme des § 11 am 31. Juli 2009 außer Kraft.</w:t>
      </w:r>
    </w:p>
    <w:p>
      <w:r>
        <w:rPr>
          <w:color w:val="555555"/>
          <w:sz w:val="17"/>
        </w:rPr>
        <w:t xml:space="preserve">Zitiervorschlag: § 12 ChemBioLackAusbErprobV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https://recht.nulegal.eu/gesetze/ChemBioLackAusbErprobV/12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