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ChemBioLackAusbErprobV — Übergangsregelung</w:t>
      </w:r>
    </w:p>
    <w:p>
      <w:r>
        <w:rPr>
          <w:color w:val="555555"/>
          <w:sz w:val="18"/>
        </w:rPr>
        <w:t xml:space="preserve">Verordnung über die Erprobung einer neuen Ausbildungsform für die Berufsausbildung im Laborbereich Chemie, Biologie und Lack</w:t>
      </w:r>
    </w:p>
    <w:p>
      <w:r>
        <w:rPr>
          <w:color w:val="555555"/>
          <w:sz w:val="18"/>
        </w:rPr>
        <w:t xml:space="preserve">Historische Fassung: Stand 10.06.2019 bis 19.02.2022. Dies ist nicht die aktuelle Fassung.</w:t>
      </w:r>
    </w:p>
    <w:p>
      <w:r>
        <w:t xml:space="preserve">Auf Berufsausbildungsverhältnisse, die bis zum 31. Juli 2009 begonnen werden, sind die Vorschriften dieser Verordnung weiter anzuwenden.</w:t>
      </w:r>
    </w:p>
    <w:p>
      <w:r>
        <w:rPr>
          <w:color w:val="555555"/>
          <w:sz w:val="17"/>
        </w:rPr>
        <w:t xml:space="preserve">Zitiervorschlag: § 11 ChemBioLackAusbErprobV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https://recht.nulegal.eu/gesetze/ChemBioLackAusbErprobV/11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