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CanBV</w:t>
      </w:r>
    </w:p>
    <w:p>
      <w:r>
        <w:rPr>
          <w:color w:val="555555"/>
          <w:sz w:val="18"/>
        </w:rPr>
        <w:t xml:space="preserve">Cannabis-Begleiterhebungs-Verordnung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Auf Grund des § 31 Absatz 6 Satz 7 des Fünften Buches Sozialgesetzbuch – Gesetzliche Krankenversicherung –, der durch Artikel 4 Nummer 2 des Gesetzes vom 6. März 2017 (BGBl. I S. 403)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CanBV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https://recht.nulegal.eu/gesetze/CanBV/eingangsformel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