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CanBV — Inkrafttreten, Außerkrafttreten</w:t>
      </w:r>
    </w:p>
    <w:p>
      <w:r>
        <w:rPr>
          <w:color w:val="555555"/>
          <w:sz w:val="18"/>
        </w:rPr>
        <w:t xml:space="preserve">Cannabis-Begleiterhebungs-Verordnung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Diese Verordnung tritt am Tag nach der Verkündung in Kraft und tritt am 31. März 2023 außer Kraft.</w:t>
      </w:r>
    </w:p>
    <w:p>
      <w:r>
        <w:rPr>
          <w:color w:val="555555"/>
          <w:sz w:val="17"/>
        </w:rPr>
        <w:t xml:space="preserve">Zitiervorschlag: § 5 CanBV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https://recht.nulegal.eu/gesetze/CanBV/5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