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CanBV — Datenerfassung durch die Vertragsärztin oder den Vertragsarzt und Übermittlung der Daten an das Bundesinstitut für Arzneimittel und Medizinprodukte</w:t>
      </w:r>
    </w:p>
    <w:p>
      <w:r>
        <w:rPr>
          <w:color w:val="555555"/>
          <w:sz w:val="18"/>
        </w:rPr>
        <w:t xml:space="preserve">Cannabis-Begleiterhebungs-Verordnung</w:t>
      </w:r>
    </w:p>
    <w:p>
      <w:r>
        <w:rPr>
          <w:color w:val="555555"/>
          <w:sz w:val="18"/>
        </w:rPr>
        <w:t xml:space="preserve">Historische Fassung: Stand 10.06.2019 bis 25.06.2023. Dies ist nicht die aktuelle Fassung.</w:t>
      </w:r>
    </w:p>
    <w:p>
      <w:r>
        <w:t xml:space="preserve">(1) Die Vertragsärztin oder der Vertragsarzt hat den Erhebungsbogen elektronisch auszufüllen mit den nach § 1 festgelegten Daten, die bereits aufgrund der Therapie der Versicherten vorliegen.</w:t>
      </w:r>
    </w:p>
    <w:p>
      <w:r>
        <w:t xml:space="preserve">(2) Der Erhebungsbogen ist an das Bundesinstitut für Arzneimittel und Medizinprodukte zu übermitteln, wenn</w:t>
      </w:r>
    </w:p>
    <w:p>
      <w:pPr>
        <w:ind w:left="420"/>
      </w:pPr>
      <w:r>
        <w:t xml:space="preserve">1. nach Beginn der Therapie mit der durch die Krankenkasse nach § 31 Absatz 6 Satz 2 des Fünften Buches Sozialgesetzbuch genehmigten Leistung ein Jahr vergangen ist oder</w:t>
      </w:r>
    </w:p>
    <w:p>
      <w:pPr>
        <w:ind w:left="420"/>
      </w:pPr>
      <w:r>
        <w:t xml:space="preserve">2. die Therapie mit der genehmigten Leistung vor Ablauf eines Jahres beendet wurde.</w:t>
      </w:r>
    </w:p>
    <w:p>
      <w:r>
        <w:t xml:space="preserve">Für Versicherte, die sich nach dem 31. Dezember 2021 in Therapie befinden, müssen Vertragsärztinnen und Vertragsärzte spätestens bis zum 31. März 2022 an das Bundesinstitut für Arzneimittel und Medizinprodukte einen weiteren Erhebungsbogen übermitteln, unabhängig davon, ob sie bereits zuvor zu den gleichen Versicherten Daten übermittelt haben.</w:t>
      </w:r>
    </w:p>
    <w:p>
      <w:r>
        <w:t xml:space="preserve">(3) Der Wechsel zu einer anderen Leistung nach § 31 Absatz 6 Satz 1 des Fünften Buches Sozialgesetzbuch gilt als neue Therapie. In diesen Fällen ist ein neuer Erhebungsbogen gemäß Absatz 1 auszufüllen und gemäß Absatz 2 an das Bundesinstitut für Arzneimittel und Medizinprodukte zu übermitteln.</w:t>
      </w:r>
    </w:p>
    <w:p>
      <w:r>
        <w:t xml:space="preserve">(4) Eine Verknüpfung von Daten nach Absatz 2 Satz 2 mit Daten nach Absatz 2 Satz 1 erfolgt nicht.</w:t>
      </w:r>
    </w:p>
    <w:p>
      <w:r>
        <w:rPr>
          <w:color w:val="555555"/>
          <w:sz w:val="17"/>
        </w:rPr>
        <w:t xml:space="preserve">Zitiervorschlag: § 4 CanBV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https://recht.nulegal.eu/gesetze/CanBV/4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