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CanBV — Information der oder des Versicherten</w:t>
      </w:r>
    </w:p>
    <w:p>
      <w:r>
        <w:rPr>
          <w:color w:val="555555"/>
          <w:sz w:val="18"/>
        </w:rPr>
        <w:t xml:space="preserve">Cannabis-Begleiterhebungs-Verordnung</w:t>
      </w:r>
    </w:p>
    <w:p>
      <w:r>
        <w:rPr>
          <w:color w:val="555555"/>
          <w:sz w:val="18"/>
        </w:rPr>
        <w:t xml:space="preserve">Historische Fassung: Stand 10.06.2019 bis 25.06.2023. Dies ist nicht die aktuelle Fassung.</w:t>
      </w:r>
    </w:p>
    <w:p>
      <w:r>
        <w:t xml:space="preserve">(1) Die Vertragsärztin oder der Vertragsarzt hat die Versicherte oder den Versicherten vor der ersten Verordnung der Leistung nach § 31 Absatz 6 Satz 1 des Fünften Buches Sozialgesetzbuch über die Begleiterhebung zu informieren. Dabei ist insbesondere das vom Bundesinstitut für Arzneimittel und Medizinprodukte näher konkretisierte Verfahren der anonymisierten Datenübermittlung zu erläutern.</w:t>
      </w:r>
    </w:p>
    <w:p>
      <w:r>
        <w:t xml:space="preserve">(2) Die Information hat im persönlichen Gespräch zwischen der Vertragsärztin oder dem Vertragsarzt und der oder dem Versicherten zu erfolgen. Das Bundesinstitut für Arzneimittel und Medizinprodukte hat ein Informationsblatt zu erstellen, in dem die im Rahmen der Begleiterhebung zu übermittelnden Daten und ihre anonymisierte Übermittlung erläutert werden, und den Vertragsärztinnen und Vertragsärzten zur Verfügung zu stellen. Die Vertragsärztin oder der Vertragsarzt hat dieses Informationsblatt an die Versicherte oder den Versicherten auszuhändigen.</w:t>
      </w:r>
    </w:p>
    <w:p>
      <w:r>
        <w:rPr>
          <w:color w:val="555555"/>
          <w:sz w:val="17"/>
        </w:rPr>
        <w:t xml:space="preserve">Zitiervorschlag: § 3 CanBV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https://recht.nulegal.eu/gesetze/CanBV/3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