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CanBV — Erstellung und Übermittlung des Erhebungsbogens</w:t>
      </w:r>
    </w:p>
    <w:p>
      <w:r>
        <w:rPr>
          <w:color w:val="555555"/>
          <w:sz w:val="18"/>
        </w:rPr>
        <w:t xml:space="preserve">Cannabis-Begleiterhebungs-Verordnung</w:t>
      </w:r>
    </w:p>
    <w:p>
      <w:r>
        <w:rPr>
          <w:color w:val="555555"/>
          <w:sz w:val="18"/>
        </w:rPr>
        <w:t xml:space="preserve">Historische Fassung: Stand 10.06.2019 bis 25.06.2023. Dies ist nicht die aktuelle Fassung.</w:t>
      </w:r>
    </w:p>
    <w:p>
      <w:r>
        <w:t xml:space="preserve">(1) Das gemäß § 31 Absatz 6 Satz 4 des Fünften Buches Sozialgesetzbuch mit der Begleiterhebung betraute Bundesinstitut für Arzneimittel und Medizinprodukte erstellt einen Erhebungsbogen, der die in § 1 festgelegten Daten enthalten soll.</w:t>
      </w:r>
    </w:p>
    <w:p>
      <w:r>
        <w:t xml:space="preserve">(2) Der Erhebungsbogen ist den Vertragsärztinnen und Vertragsärzten, die eine Leistung nach § 31 Absatz 6 Satz 1 des Fünften Buches Sozialgesetzbuch verordnen, durch das Bundesinstitut für Arzneimittel und Medizinprodukte elektronisch zur Verfügung zu stellen. Für die Übermittlung des ausgefüllten Erhebungsbogens von der Vertragsärztin oder dem Vertragsarzt an das Bundesinstitut für Arzneimittel und Medizinprodukte ist vom Bundesinstitut für Arzneimittel und Medizinprodukte ein Übermittlungsweg zu wählen, der die Anonymisierung der Versichertendaten und der Daten der Vertragsärztinnen und Vertragsärzte sicherstellt. Das Verfahren nach den Sätzen 1 und 2 wird vom Bundesinstitut für Arzneimittel und Medizinprodukte jeweils näher konkretisiert.</w:t>
      </w:r>
    </w:p>
    <w:p>
      <w:r>
        <w:rPr>
          <w:color w:val="555555"/>
          <w:sz w:val="17"/>
        </w:rPr>
        <w:t xml:space="preserve">Zitiervorschlag: § 2 CanBV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https://recht.nulegal.eu/gesetze/CanBV/2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