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Artikel 2 CWSSRechtsG — Inkrafttreten</w:t>
      </w:r>
    </w:p>
    <w:p>
      <w:r>
        <w:rPr>
          <w:color w:val="555555"/>
          <w:sz w:val="18"/>
        </w:rPr>
        <w:t xml:space="preserve">Gesetz zur Verleihung der Rechtsfähigkeit an das Gemeinsame Wattenmeersekretariat - Common Wadden Sea Secretariat (CWSS)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Artikel 2 CWSSRechtsG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https://recht.nulegal.eu/gesetze/CWSSRechtsG/2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