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CWÜV</w:t>
      </w:r>
    </w:p>
    <w:p>
      <w:r>
        <w:rPr>
          <w:color w:val="555555"/>
          <w:sz w:val="18"/>
        </w:rPr>
        <w:t xml:space="preserve">Ausführungsverordnung zum Chemiewaffenübereinkommen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Abs. 1 und 3 und des § 3 des Ausführungsgesetzes zum Chemiewaffenübereinkommen vom 2. August 1994 (BGBl. I S. 1954) verordnet die Bundesregierung:</w:t>
      </w:r>
    </w:p>
    <w:p>
      <w:r>
        <w:rPr>
          <w:color w:val="555555"/>
          <w:sz w:val="17"/>
        </w:rPr>
        <w:t xml:space="preserve">Zitiervorschlag: Eingangsformel CWÜV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https://recht.nulegal.eu/gesetze/CW%C3%9CV/eingangsformel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