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CWÜV — Formvorschriften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Die Anträge auf Erteilung einer Genehmigung nach § 2 und die Meldungen nach den §§ 4 und 6 sind durch schriftliche Erklärung gegenüber dem Bundesamt für Wirtschaft und Ausfuhrkontrolle abzugeben.</w:t>
      </w:r>
    </w:p>
    <w:p>
      <w:r>
        <w:t xml:space="preserve">(2) Das Bundesamt für Wirtschaft und Ausfuhrkontrolle kann durch Bekanntmachung im Bundesanzeiger die Verwendung bestimmter Vordrucke vorschreiben. Es kann gestatten, Anträge und Meldungen in anderer Weise, insbesondere durch elektronischen Datenaustausch, abzugeben.</w:t>
      </w:r>
    </w:p>
    <w:p>
      <w:r>
        <w:rPr>
          <w:color w:val="555555"/>
          <w:sz w:val="17"/>
        </w:rPr>
        <w:t xml:space="preserve">Zitiervorschlag: § 8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