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CWÜV — Inkrafttreten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14.03.2024 (konsolidierte Textfassung, kein amtliches Inkrafttretensdatum)</w:t>
      </w:r>
    </w:p>
    <w:p>
      <w:r>
        <w:t xml:space="preserve">Die §§ 1, 2 Absatz 1 Nummer 2 und 3, § 12 Nummer 3 und § 13 treten an dem Tage in Kraft, an dem das Übereinkommen nach seinem Artikel XXI in Kraft tritt und der gemäß § 21 Absatz 2 des Ausführungsgesetzes zum Chemiewaffenübereinkommen im Bundesgesetzblatt bekanntgegeben wird. Im übrigen tritt diese Verordnung am Tage nach der Verkündung in Kraft.</w:t>
      </w:r>
    </w:p>
    <w:p>
      <w:r>
        <w:rPr>
          <w:color w:val="555555"/>
          <w:sz w:val="17"/>
        </w:rPr>
        <w:t xml:space="preserve">Zitiervorschlag: § 15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