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CWÜV — Bundeswehr und andere Organe</w:t>
      </w:r>
    </w:p>
    <w:p>
      <w:r>
        <w:rPr>
          <w:color w:val="555555"/>
          <w:sz w:val="18"/>
        </w:rPr>
        <w:t xml:space="preserve">Ausführungsverordnung zum Chemiewaffenübereinkommen</w:t>
      </w:r>
    </w:p>
    <w:p>
      <w:r>
        <w:rPr>
          <w:color w:val="555555"/>
          <w:sz w:val="18"/>
        </w:rPr>
        <w:t xml:space="preserve">Stand: 10.06.2019 (konsolidierte Textfassung, kein amtliches Inkrafttretensdatum)</w:t>
      </w:r>
    </w:p>
    <w:p>
      <w:r>
        <w:t xml:space="preserve">Keiner Genehmigung nach § 2 bedürfen die Bundeswehr, die Polizeien des Bundes und die Zollbehörden sowie die übrigen für die Aufrechterhaltung der öffentlichen Sicherheit zuständigen Behörden und Dienststellen. Die Meldevorschriften dieser Verordnung gelten nicht für die Bundeswehr.</w:t>
      </w:r>
    </w:p>
    <w:p>
      <w:r>
        <w:rPr>
          <w:color w:val="555555"/>
          <w:sz w:val="17"/>
        </w:rPr>
        <w:t xml:space="preserve">Zitiervorschlag: § 11 CWÜV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https://recht.nulegal.eu/gesetze/CW%C3%9CV/11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