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CWÜAG — Duldung und Unterstützung von Inspektionen</w:t>
      </w:r>
    </w:p>
    <w:p>
      <w:r>
        <w:rPr>
          <w:color w:val="555555"/>
          <w:sz w:val="18"/>
        </w:rPr>
        <w:t xml:space="preserve">Ausführungsgesetz zum Chemiewaffenübereinkommen</w:t>
      </w:r>
    </w:p>
    <w:p>
      <w:r>
        <w:rPr>
          <w:color w:val="555555"/>
          <w:sz w:val="18"/>
        </w:rPr>
        <w:t xml:space="preserve">Stand: 09.03.2024 (konsolidierte Textfassung, kein amtliches Inkrafttretensdatum)</w:t>
      </w:r>
    </w:p>
    <w:p>
      <w:r>
        <w:t xml:space="preserve">(1) Der Inhaber eines Grundstücks oder einer Räumlichkeit, auf dem oder in der sich nach einer auf Grund der §§ 2 oder 3 erlassenen Rechtsverordnung eine Einrichtung befindet, auf die sich eine Genehmigungspflicht oder eine Meldepflicht bezieht, und der Betreiber einer solchen Einrichtung (Verpflichtete) haben Inspektionen nach dem Übereinkommen im Rahmen des Inspektionsauftrags nach Maßgabe des § 10 zu dulden und nach Maßgabe des § 11 zu unterstützen. Satz 1 gilt auch, wenn der begründete Verdacht besteht, dass sich auf einem Grundstück oder in einem Raum chemische Waffen befinden, die nach § 3a Absatz 1 Nummer 1 meldepflichtig sind.</w:t>
      </w:r>
    </w:p>
    <w:p>
      <w:r>
        <w:t xml:space="preserve">(2) Der Inhaber von Grundstücken oder Räumen jeder Art (Verpflichteter) hat Inspektionen nach Artikel IX des Übereinkommens und Untersuchungen nach Artikel X des Übereinkommens im Rahmen des Inspektionsauftrags nach Maßgabe des § 10 zu dulden und des § 11 zu unterstützen.</w:t>
      </w:r>
    </w:p>
    <w:p>
      <w:r>
        <w:t xml:space="preserve">(3) Die Verpflichteten nach Absatz 1 oder 2 haben die ihnen aus der Durchführung der Inspektionen oder Untersuchungen entstehenden Kosten selbst zu tragen, sofern sie der Bundesrepublik Deutschland von der Organisation nach den Bestimmungen des Übereinkommens nicht erstattet werden. Anträge auf Kostenerstattung sind innerhalb von sechs Wochen nach Abschluss der Inspektion oder der Untersuchung bei der Behörde einzureichen, die nach § 9 oder 9a die Begleitgruppe gestellt hat.</w:t>
      </w:r>
    </w:p>
    <w:p>
      <w:r>
        <w:rPr>
          <w:color w:val="555555"/>
          <w:sz w:val="17"/>
        </w:rPr>
        <w:t xml:space="preserve">Zitiervorschlag: § 8 CWÜAG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https://recht.nulegal.eu/gesetze/CW%C3%9CAG/8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