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CWÜAG — Sicherungspflichten</w:t>
      </w:r>
    </w:p>
    <w:p>
      <w:r>
        <w:rPr>
          <w:color w:val="555555"/>
          <w:sz w:val="18"/>
        </w:rPr>
        <w:t xml:space="preserve">Ausführungsgesetz zum Chemiewaffenübereinkommen</w:t>
      </w:r>
    </w:p>
    <w:p>
      <w:r>
        <w:rPr>
          <w:color w:val="555555"/>
          <w:sz w:val="18"/>
        </w:rPr>
        <w:t xml:space="preserve">Stand: 09.03.2024 (konsolidierte Textfassung, kein amtliches Inkrafttretensdatum)</w:t>
      </w:r>
    </w:p>
    <w:p>
      <w:r>
        <w:t xml:space="preserve">Wer eine Tätigkeit ausübt, die nach einer auf Grund der §§ 2 und 3 erlassenen Rechtsverordnung Beschränkungen unterworfen, melde- oder anzeigepflichtig ist, hat die erforderlichen Maßnahmen zu treffen, um zu verhindern, dass die dort bezeichneten Chemikalien abhandenkommen oder unbefugt verwendet werden.</w:t>
      </w:r>
    </w:p>
    <w:p>
      <w:r>
        <w:rPr>
          <w:color w:val="555555"/>
          <w:sz w:val="17"/>
        </w:rPr>
        <w:t xml:space="preserve">Zitiervorschlag: § 4 CWÜAG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https://recht.nulegal.eu/gesetze/CW%C3%9CAG/4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