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CWÜAG — Inkrafttreten</w:t>
      </w:r>
    </w:p>
    <w:p>
      <w:r>
        <w:rPr>
          <w:color w:val="555555"/>
          <w:sz w:val="18"/>
        </w:rPr>
        <w:t xml:space="preserve">Ausführungsgesetz zum Chemiewaffenübereinkommen</w:t>
      </w:r>
    </w:p>
    <w:p>
      <w:r>
        <w:rPr>
          <w:color w:val="555555"/>
          <w:sz w:val="18"/>
        </w:rPr>
        <w:t xml:space="preserve">Stand: 09.03.2024 (konsolidierte Textfassung, kein amtliches Inkrafttretensdatum)</w:t>
      </w:r>
    </w:p>
    <w:p>
      <w:r>
        <w:t xml:space="preserve">(1) Die §§ 1 bis 7, 12, 15 Absatz 1 Nummer 1 Buchstabe b und Nummer 3, Absatz 2 und 3, § 16 Absatz 1 Nummer 1, Absatz 5 und 6 und die §§ 19 und 20 treten einen Tag nach der gemäß Absatz 2 erfolgten Bekanntgabe in Kraft. Im übrigen tritt dieses Gesetz an dem Tage in Kraft, an dem das Übereinkommen nach seinem Artikel XXI in Kraft tritt.</w:t>
      </w:r>
    </w:p>
    <w:p>
      <w:r>
        <w:t xml:space="preserve">(2) Der Tag des Inkrafttretens des Übereinkommens ist im Bundesgesetzblatt bekanntzugeben, sobald die Unterrichtung über den Zeitpunkt des Inkrafttretens durch den Generalsekretär der Vereinten Nationen nach Artikel XXIII des Übereinkommens erfolgt ist.</w:t>
      </w:r>
    </w:p>
    <w:p>
      <w:r>
        <w:rPr>
          <w:color w:val="555555"/>
          <w:sz w:val="17"/>
        </w:rPr>
        <w:t xml:space="preserve">Zitiervorschlag: § 21 CWÜAG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https://recht.nulegal.eu/gesetze/CW%C3%9CAG/21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