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20a CWÜAG — Übergangsvorschrift</w:t>
      </w:r>
    </w:p>
    <w:p>
      <w:r>
        <w:rPr>
          <w:color w:val="555555"/>
          <w:sz w:val="18"/>
        </w:rPr>
        <w:t xml:space="preserve">Ausführungsgesetz zum Chemiewaffenübereinkommen</w:t>
      </w:r>
    </w:p>
    <w:p>
      <w:r>
        <w:rPr>
          <w:color w:val="555555"/>
          <w:sz w:val="18"/>
        </w:rPr>
        <w:t xml:space="preserve">Stand: 09.03.2024 (konsolidierte Textfassung, kein amtliches Inkrafttretensdatum)</w:t>
      </w:r>
    </w:p>
    <w:p>
      <w:r>
        <w:t xml:space="preserve">Bis zum Erlass einer Rechtsverordnung nach § 3a Absatz 7 sind die in § 6 Absatz 1 Nummer 1 der Ausführungsverordnung zum Chemiewaffenübereinkommen vom 20. November 1996 (BGBl. I S. 1794), die zuletzt durch Artikel 1 der Verordnung vom 6. Juli 2020 (BGBl. I S. 1603) geändert worden ist, genannten Schwellen anzuwenden. § 9 der Ausführungsverordnung zum Chemiewaffenübereinkommen gilt entsprechend.</w:t>
      </w:r>
    </w:p>
    <w:p>
      <w:r>
        <w:rPr>
          <w:color w:val="555555"/>
          <w:sz w:val="17"/>
        </w:rPr>
        <w:t xml:space="preserve">Zitiervorschlag: § 20a CWÜAG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https://recht.nulegal.eu/gesetze/CW%C3%9CAG/20a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