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CWÜAG — Befugnisse der Zollbehörden</w:t>
      </w:r>
    </w:p>
    <w:p>
      <w:r>
        <w:rPr>
          <w:color w:val="555555"/>
          <w:sz w:val="18"/>
        </w:rPr>
        <w:t xml:space="preserve">Ausführungsgesetz zum Chemiewaffenübereinkommen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Staatsanwaltschaft und die Verwaltungsbehörde können bei Straftaten und Ordnungswidrigkeiten nach den §§ 15 bis 17 Ermittlungen (§ 161 Satz 1 der Strafprozeßordnung) auch durch die Hauptzollämter oder die Zollfahndungsämter vornehmen lassen.</w:t>
      </w:r>
    </w:p>
    <w:p>
      <w:r>
        <w:t xml:space="preserve">(2) Die Hauptzollämter und die Zollfahndungsämter sowie deren Beamte haben auch ohne Ersuchen der Staatsanwaltschaft oder der Verwaltungsbehörde Straftaten und Ordnungswidrigkeiten der in Absatz 1 bezeichneten Art zu erforschen und zu verfolgen, wenn diese das Verbringen von Sachen betreffen. Dasselbe gilt, soweit Gefahr im Verzug ist. § 163 der Strafprozeßordnung und § 53 des Gesetzes über Ordnungswidrigkeiten bleiben unberührt.</w:t>
      </w:r>
    </w:p>
    <w:p>
      <w:r>
        <w:t xml:space="preserve">(3) In den Fällen der Absätze 1 und 2 haben die Beamten der Hauptzollämter und der Zollfahndungsämter die Rechte und Pflichten der Polizeibeamten nach den Bestimmungen der Strafprozeßordnung und des Gesetzes über Ordnungswidrigkeiten. Sie sind insoweit Ermittlungspersonen der Staatsanwaltschaft.</w:t>
      </w:r>
    </w:p>
    <w:p>
      <w:r>
        <w:t xml:space="preserve">(4) In diesen Fällen können die Hauptzollämter und Zollfahndungsämter sowie deren Beamte im Bußgeldverfahren Beschlagnahmen, Durchsuchungen, Untersuchungen und sonstige Maßnahmen nach den für Ermittlungspersonen der Staatsanwaltschaft geltenden Vorschriften der Strafprozeßordnung vornehmen; unter den Voraussetzungen des § 111p Abs. 2 Satz 2 der Strafprozeßordnung können auch die Hauptzollämter die Notveräußerung anordnen.</w:t>
      </w:r>
    </w:p>
    <w:p>
      <w:r>
        <w:rPr>
          <w:color w:val="555555"/>
          <w:sz w:val="17"/>
        </w:rPr>
        <w:t xml:space="preserve">Zitiervorschlag: § 20 CWÜAG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https://recht.nulegal.eu/gesetze/CW%C3%9CAG/20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