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CWÜAG — Einziehung</w:t>
      </w:r>
    </w:p>
    <w:p>
      <w:r>
        <w:rPr>
          <w:color w:val="555555"/>
          <w:sz w:val="18"/>
        </w:rPr>
        <w:t xml:space="preserve">Ausführungsgesetz zum Chemiewaffenübereinkommen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eine Ordnungswidrigkeit nach § 15 oder eine Straftat nach den §§ 16 oder 17 begangen worden, so können</w:t>
      </w:r>
    </w:p>
    <w:p>
      <w:pPr>
        <w:ind w:left="420"/>
      </w:pPr>
      <w:r>
        <w:t xml:space="preserve">1. Gegenstände, auf die sich die Ordnungswidrigkeit oder die Straftat bezieht, und</w:t>
      </w:r>
    </w:p>
    <w:p>
      <w:pPr>
        <w:ind w:left="420"/>
      </w:pPr>
      <w:r>
        <w:t xml:space="preserve">2. Gegenstände, die zu ihrer Begehung oder Vorbereitung gebraucht worden oder bestimmt gewesen sind,</w:t>
      </w:r>
    </w:p>
    <w:p>
      <w:r>
        <w:t xml:space="preserve">eingezogen werden.</w:t>
      </w:r>
    </w:p>
    <w:p>
      <w:r>
        <w:t xml:space="preserve">(2) § 74a des Strafgesetzbuches und § 23 des Gesetzes über Ordnungswidrigkeiten sind anzuwenden.</w:t>
      </w:r>
    </w:p>
    <w:p>
      <w:r>
        <w:t xml:space="preserve">(3) (weggefallen)</w:t>
      </w:r>
    </w:p>
    <w:p>
      <w:r>
        <w:rPr>
          <w:color w:val="555555"/>
          <w:sz w:val="17"/>
        </w:rPr>
        <w:t xml:space="preserve">Zitiervorschlag: § 19 CWÜAG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https://recht.nulegal.eu/gesetze/CW%C3%9CAG/19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