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CWÜAG — Auslandstaten Deutscher</w:t>
      </w:r>
    </w:p>
    <w:p>
      <w:r>
        <w:rPr>
          <w:color w:val="555555"/>
          <w:sz w:val="18"/>
        </w:rPr>
        <w:t xml:space="preserve">Ausführungsgesetz zum Chemiewaffenübereinkommen</w:t>
      </w:r>
    </w:p>
    <w:p>
      <w:r>
        <w:rPr>
          <w:color w:val="555555"/>
          <w:sz w:val="18"/>
        </w:rPr>
        <w:t xml:space="preserve">Stand: 09.03.2024 (konsolidierte Textfassung, kein amtliches Inkrafttretensdatum)</w:t>
      </w:r>
    </w:p>
    <w:p>
      <w:r>
        <w:t xml:space="preserve">§ 16 Absatz 1 Nummer 2, Absatz 5 und § 17 gelten, unabhängig vom Recht des Tatorts, auch für Taten, die im Ausland begangen werden, wenn der Täter Deutscher ist.</w:t>
      </w:r>
    </w:p>
    <w:p>
      <w:r>
        <w:rPr>
          <w:color w:val="555555"/>
          <w:sz w:val="17"/>
        </w:rPr>
        <w:t xml:space="preserve">Zitiervorschlag: § 18 CWÜAG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https://recht.nulegal.eu/gesetze/CW%C3%9CAG/18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