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CWÜAG — Strafvorschriften</w:t>
      </w:r>
    </w:p>
    <w:p>
      <w:r>
        <w:rPr>
          <w:color w:val="555555"/>
          <w:sz w:val="18"/>
        </w:rPr>
        <w:t xml:space="preserve">Ausführungsgesetz zum Chemiewaffenübereinkommen</w:t>
      </w:r>
    </w:p>
    <w:p>
      <w:r>
        <w:rPr>
          <w:color w:val="555555"/>
          <w:sz w:val="18"/>
        </w:rPr>
        <w:t xml:space="preserve">Stand: 09.03.2024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einer Rechtsverordnung nach § 2 Absatz 1 Satz 2 Nummer 1 zuwiderhandelt, soweit sie für einen bestimmten Tatbestand auf diese Strafvorschrift verweist, oder</w:t>
      </w:r>
    </w:p>
    <w:p>
      <w:pPr>
        <w:ind w:left="420"/>
      </w:pPr>
      <w:r>
        <w:t xml:space="preserve">2. einer Rechtsverordnung nach § 2 Absatz 1 Satz 2 Nummer 2 zuwiderhandelt, soweit sie für einen bestimmten Tatbestand auf diese Strafvorschrift verweist,</w:t>
      </w:r>
    </w:p>
    <w:p>
      <w:r>
        <w:t xml:space="preserve">wenn die Tat nicht nach § 20 des Gesetzes über die Kontrolle von Kriegswaffen mit Strafe bedroht ist.</w:t>
      </w:r>
    </w:p>
    <w:p>
      <w:r>
        <w:t xml:space="preserve">(2) Mit Freiheitsstrafe bis zu drei Jahren oder mit Geldstrafe wird bestraft, wer einer Rechtsverordnung nach § 2 Absatz 1 Satz 2 Nummer 3 zuwiderhandelt, soweit sie für einen bestimmten Tatbestand auf diese Strafvorschrift verweist, wenn die Tat nicht nach § 20 des Gesetzes über die Kontrolle von Kriegswaffen mit Strafe bedroht ist.</w:t>
      </w:r>
    </w:p>
    <w:p>
      <w:r>
        <w:t xml:space="preserve">(3) In besonders schweren Fällen des Absatzes 1 ist die Strafe Freiheitsstrafe nicht unter zwei Jahren. Ein besonders schwerer Fall liegt in der Regel vor, wenn der Täter</w:t>
      </w:r>
    </w:p>
    <w:p>
      <w:pPr>
        <w:ind w:left="420"/>
      </w:pPr>
      <w:r>
        <w:t xml:space="preserve">1. die Gefahr eines schweren Nachteils für die auswärtigen Beziehungen der Bundesrepublik Deutschland herbeiführt oder</w:t>
      </w:r>
    </w:p>
    <w:p>
      <w:pPr>
        <w:ind w:left="420"/>
      </w:pPr>
      <w:r>
        <w:t xml:space="preserve">2. gewerbsmäßig oder als Mitglied einer Bande, die sich zur fortgesetzten Begehung solcher Straftaten verbunden hat, unter Mitwirkung eines anderen Bandenmitglieds handelt.</w:t>
      </w:r>
    </w:p>
    <w:p>
      <w:r>
        <w:t xml:space="preserve">(4) Nach Absatz 1 Nummer 2 und Absatz 2 wird auch bestraft, wer auf Grund einer nach einer Rechtsverordnung nach § 2 Absatz 1 Satz 2 Nummer 2 oder 3 erforderlichen Genehmigung handelt, wenn die Genehmigung durch Drohung, Bestechung oder Kollusion erwirkt oder durch unrichtige oder unvollständige Angaben erschlichen wurde.</w:t>
      </w:r>
    </w:p>
    <w:p>
      <w:r>
        <w:t xml:space="preserve">(5) Der Versuch ist strafbar.</w:t>
      </w:r>
    </w:p>
    <w:p>
      <w:r>
        <w:t xml:space="preserve">(6) Handelt der Täter fahrlässig, so ist die Strafe in den Fällen des Absatzes 1 Freiheitsstrafe bis zu zwei Jahren oder Geldstrafe, im Falle des Absatzes 2 Freiheitsstrafe bis zu einem Jahr oder Geldstrafe.</w:t>
      </w:r>
    </w:p>
    <w:p>
      <w:r>
        <w:rPr>
          <w:color w:val="555555"/>
          <w:sz w:val="17"/>
        </w:rPr>
        <w:t xml:space="preserve">Zitiervorschlag: § 16 CWÜAG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https://recht.nulegal.eu/gesetze/CW%C3%9CAG/16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CWÜAG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