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CW VO (Nordrhein-Westfalen)</w:t>
      </w:r>
    </w:p>
    <w:p>
      <w:r>
        <w:rPr>
          <w:color w:val="555555"/>
          <w:sz w:val="18"/>
        </w:rPr>
        <w:t xml:space="preserve">Camping- und Wochenendplatzverordnung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März 2011</w:t>
      </w:r>
    </w:p>
    <w:p>
      <w:r>
        <w:t xml:space="preserve">Auf Grund des § 85 Absatz 1 Nummer 1, 5 und 6, Absatz 2 Nummer 1 und Absatz 8 der Landesbauordnung in der Fassung der Bekanntmachung vom 1. März 2000 (GV. NRW. S. 256), zuletzt geändert durch Artikel 2 des Gesetzes vom 17. Dezember 2009 (GV. NRW. S. 863), wird nach Anhörung des fachlich zuständigen Ausschusses des Landtags verordnet:</w:t>
      </w:r>
    </w:p>
    <w:p>
      <w:r>
        <w:rPr>
          <w:color w:val="555555"/>
          <w:sz w:val="17"/>
        </w:rPr>
        <w:t xml:space="preserve">Zitiervorschlag: Volltext CW 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https://recht.nulegal.eu/gesetze/CW%20VO/volltext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