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CW VO (Nordrhein-Westfalen) — Brandschutz</w:t>
      </w:r>
    </w:p>
    <w:p>
      <w:r>
        <w:rPr>
          <w:color w:val="555555"/>
          <w:sz w:val="18"/>
        </w:rPr>
        <w:t xml:space="preserve">Camping- und Wochenendplatzverordnung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Camping- und Wochenendplätze sind durch mindestens 5 m breite Brandschutzstreifen in einzelne Abschnitte zu unterteilen. In einem Abschnitt dürfen sich nicht mehr als 20 Stand- oder Aufstellplätze befinden. Bei aneinander gereihten Stand- oder Aufstellplätzen ist nach jeweils 10 Plätzen ebenfalls ein Brandschutzstreifen anzuordnen. Die Bauaufsichtsbehörde kann verlangen, dass Brandschutzstreifen zu angrenzenden Grundstücken angelegt werden.</w:t>
      </w:r>
    </w:p>
    <w:p>
      <w:r>
        <w:t xml:space="preserve">(2) Wochenendplätze dürfen nur eingerichtet werden, wenn die Löschwasserversorgung aus einer Druckleitung mit Überflurhydranten oder aus Gewässern über besondere Einrichtungen für die Löschwasserentnahme dauernd gesichert ist. Die Druckleitung muss eine Durchflussleistung von mindestens 400 l/min haben.</w:t>
      </w:r>
    </w:p>
    <w:p>
      <w:r>
        <w:t xml:space="preserve">(3) Die Überflurhydranten nach Absatz 2 müssen an den inneren Fahrwegen liegen. Von jedem Aufstellplatz muss ein Überflurhydrant oder eine besondere Einrichtung für die Löschwasserentnahme in höchstens 200 m Entfernung erreichbar sein. Hydranten an öffentlichen Verkehrsflächen können angerechnet werden.</w:t>
      </w:r>
    </w:p>
    <w:p>
      <w:r>
        <w:t xml:space="preserve">(4) Für je 50 Standplätze und für je 25 Aufstellplätze ist mindestens ein für die Brandklassen A, B und C geeigneter Feuerlöscher mit mindestens 6 kg Löschmittelinhalt auf der Platzanlage zweckmäßig verteilt und wetterfest anzubringen. Von jedem Stand- oder Aufstellplatz muss ein Feuerlöscher in höchstens 40 m Entfernung erreichbar sein. Sofern eine Aufsichtsperson (z. B. Platzwart) für den Platz erforderlich ist, sind bei dieser zwei weitere Feuerlöscher nach Satz 1 bereitzuhalten.</w:t>
      </w:r>
    </w:p>
    <w:p>
      <w:r>
        <w:rPr>
          <w:color w:val="555555"/>
          <w:sz w:val="17"/>
        </w:rPr>
        <w:t xml:space="preserve">Zitiervorschlag: § 5 CW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https://recht.nulegal.eu/gesetze/CW%20VO/5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