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CW VO (Nordrhein-Westfalen) — Anwendungsbereich</w:t>
      </w:r>
    </w:p>
    <w:p>
      <w:r>
        <w:rPr>
          <w:color w:val="555555"/>
          <w:sz w:val="18"/>
        </w:rPr>
        <w:t xml:space="preserve">Camping- und Wochenendplatzverordnung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dieser Verordnung gelten für Campingplätze für mehr als drei Wohnwagen oder Zelte und Wochenendplätze.</w:t>
      </w:r>
    </w:p>
    <w:p>
      <w:r>
        <w:rPr>
          <w:color w:val="555555"/>
          <w:sz w:val="17"/>
        </w:rPr>
        <w:t xml:space="preserve">Zitiervorschlag: § 1 CW 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https://recht.nulegal.eu/gesetze/CW%20VO/1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