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CSG (Bayern) — Inkrafttreten, Außerkrafttreten</w:t>
      </w:r>
    </w:p>
    <w:p>
      <w:r>
        <w:rPr>
          <w:color w:val="555555"/>
          <w:sz w:val="18"/>
        </w:rPr>
        <w:t xml:space="preserve">Campus-Straubing-Gesetz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Dieses Gesetz tritt am 1. Oktober 2017 in Kraft. Mit Ablauf des 30. September 2017 tritt Abschnitt 1 der Verordnung über die Errichtung von Wissenschaftszentren (WissZentErV) vom 31. Mai 2007 (GVBl. S. 372, BayRS 2210-1-1-12-K), die zuletzt durch § 1 Nr. 217 der Verordnung vom 22. Juli 2014 (GVBl. S. 286) geändert worden ist, außer Kraft.</w:t>
      </w:r>
    </w:p>
    <w:p>
      <w:r>
        <w:rPr>
          <w:color w:val="555555"/>
          <w:sz w:val="17"/>
        </w:rPr>
        <w:t xml:space="preserve">Zitiervorschlag: Art 2 CSG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https://recht.nulegal.eu/gesetze/CSG/2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