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CSCGKostO</w:t>
      </w:r>
    </w:p>
    <w:p>
      <w:r>
        <w:rPr>
          <w:color w:val="555555"/>
          <w:sz w:val="18"/>
        </w:rPr>
        <w:t xml:space="preserve">Kostenordnung für Maßnahmen nach dem 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8 Abs. 2 und 3 des Gesetzes vom 10. Februar 1976 zu dem Übereinkommen vom 2. Dezember 1972 über sichere Container (BGBl. 1976 II S. 253) wird mit Zustimmung des Bundesrates verordnet:</w:t>
      </w:r>
    </w:p>
    <w:p>
      <w:r>
        <w:rPr>
          <w:color w:val="555555"/>
          <w:sz w:val="17"/>
        </w:rPr>
        <w:t xml:space="preserve">Zitiervorschlag: Eingangsformel CSCGKostO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