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CSCGKostO</w:t>
      </w:r>
    </w:p>
    <w:p>
      <w:r>
        <w:rPr>
          <w:color w:val="555555"/>
          <w:sz w:val="18"/>
        </w:rPr>
        <w:t xml:space="preserve">Kostenordnung für Maßnahmen nach dem 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Amtshandlungen, Prüfungen und Besichtigungen nach dem Gesetz zu dem Übereinkommen vom 2. Dezember 1972 über sichere Container werden Kosten (Gebühren und Auslagen) nach dieser Verordnung erhoben.</w:t>
      </w:r>
    </w:p>
    <w:p>
      <w:r>
        <w:t xml:space="preserve">(2) Gebührenpflichtig sind die im Gebührenverzeichnis (Anlage dieser Verordnung) aufgeführten Tatbestände. Die Gebühren haben sich im Rahmen der Sätze des Gebührenverzeichnisses zu halten.</w:t>
      </w:r>
    </w:p>
    <w:p>
      <w:r>
        <w:t xml:space="preserve">(3) Auslagen werden gesondert erhoben, insbesondere findet das Justizvergütungs- und -entschädigungsgesetz Anwendung.</w:t>
      </w:r>
    </w:p>
    <w:p>
      <w:r>
        <w:rPr>
          <w:color w:val="555555"/>
          <w:sz w:val="17"/>
        </w:rPr>
        <w:t xml:space="preserve">Zitiervorschlag: § 1 CSCGKostO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